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ac25bb53e4bf2" /></Relationships>
</file>

<file path=word/document.xml><?xml version="1.0" encoding="utf-8"?>
<w:document xmlns:w="http://schemas.openxmlformats.org/wordprocessingml/2006/main">
  <w:body>
    <w:p>
      <w:r>
        <w:t>S-0439.2</w:t>
      </w:r>
    </w:p>
    <w:p>
      <w:pPr>
        <w:jc w:val="center"/>
      </w:pPr>
      <w:r>
        <w:t>_______________________________________________</w:t>
      </w:r>
    </w:p>
    <w:p/>
    <w:p>
      <w:pPr>
        <w:jc w:val="center"/>
      </w:pPr>
      <w:r>
        <w:rPr>
          <w:b/>
        </w:rPr>
        <w:t>SENATE BILL 5217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Kauffman, Keiser, Kuderer, Lovelett, Nguyen, Nobles, Pedersen, Valdez, and C. Wilson</w:t>
      </w:r>
    </w:p>
    <w:p/>
    <w:p>
      <w:r>
        <w:rPr>
          <w:t xml:space="preserve">Read first time 01/10/23.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ability to regulate certain industries and risk classes to prevent musculoskeletal injuries and disorders; amending RCW 49.17.020; adding new sections to chapter 49.17 RCW; creating a new section; and repealing RCW 49.17.360 and 49.17.370.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absence of the department of labor and industries' authority to regulate working practices to prevent musculoskeletal injuries and disorders has contributed to excess and avoidable claims and costs across the workers' compensation system for all employers in Washington, including those employers who maintain safer workplaces without high incidents of musculoskeletal injuries and disorders.</w:t>
      </w:r>
    </w:p>
    <w:p>
      <w:pPr>
        <w:spacing w:before="0" w:after="0" w:line="408" w:lineRule="exact"/>
        <w:ind w:left="0" w:right="0" w:firstLine="576"/>
        <w:jc w:val="left"/>
      </w:pPr>
      <w:r>
        <w:rPr/>
        <w:t xml:space="preserve">(2) The legislature finds that work-related musculoskeletal injuries and disorders account for at least one-third of all workers' compensation claims that result in time loss and wage replacement; are more severe than the average nonfatal injury or illness; and are a common cause of long-term disability in Washington state.</w:t>
      </w:r>
    </w:p>
    <w:p>
      <w:pPr>
        <w:spacing w:before="0" w:after="0" w:line="408" w:lineRule="exact"/>
        <w:ind w:left="0" w:right="0" w:firstLine="576"/>
        <w:jc w:val="left"/>
      </w:pPr>
      <w:r>
        <w:rPr/>
        <w:t xml:space="preserve">(3) The legislature finds that many of Washington state's critical industries, including health care, are described by the federal bureau of labor statistics as high-risk industries for musculoskeletal injuries. These are also industries that are currently experiencing significant staffing shortages. Further, these injuries lead to high employer costs including absenteeism, decreased productivity, and increased costs for health care, disability, and workers' compensation, among other costs.</w:t>
      </w:r>
    </w:p>
    <w:p>
      <w:pPr>
        <w:spacing w:before="0" w:after="0" w:line="408" w:lineRule="exact"/>
        <w:ind w:left="0" w:right="0" w:firstLine="576"/>
        <w:jc w:val="left"/>
      </w:pPr>
      <w:r>
        <w:rPr/>
        <w:t xml:space="preserve">(4) The legislature therefore intends to repeal the prohibition on regulating working practices related to musculoskeletal injuries and disorders, thereby allowing targeted safety efforts to more effectively and efficiently prevent these workplace injuries. By removing this barrier, the legislature will restore the state's ability to more strategically address important workplace safety issues and reduce costs for all employers and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17</w:t>
      </w:r>
      <w:r>
        <w:rPr/>
        <w:t xml:space="preserve">.</w:t>
      </w:r>
      <w:r>
        <w:t xml:space="preserve">360</w:t>
      </w:r>
      <w:r>
        <w:rPr/>
        <w:t xml:space="preserve"> (Ergonomics Initiative</w:t>
      </w:r>
      <w:r>
        <w:rPr>
          <w:rFonts w:ascii="Times New Roman" w:hAnsi="Times New Roman"/>
        </w:rPr>
        <w:t xml:space="preserve">—</w:t>
      </w:r>
      <w:r>
        <w:rPr/>
        <w:t xml:space="preserve">Intent) and 2004 c 1 s 1; and</w:t>
      </w:r>
    </w:p>
    <w:p>
      <w:pPr>
        <w:spacing w:before="0" w:after="0" w:line="408" w:lineRule="exact"/>
        <w:ind w:left="0" w:right="0" w:firstLine="576"/>
        <w:jc w:val="left"/>
      </w:pPr>
      <w:r>
        <w:t xml:space="preserve">(2) </w:t>
      </w:r>
      <w:r>
        <w:rPr/>
        <w:t xml:space="preserve">RCW </w:t>
      </w:r>
      <w:r>
        <w:t xml:space="preserve">49</w:t>
      </w:r>
      <w:r>
        <w:rPr/>
        <w:t xml:space="preserve">.</w:t>
      </w:r>
      <w:r>
        <w:t xml:space="preserve">17</w:t>
      </w:r>
      <w:r>
        <w:rPr/>
        <w:t xml:space="preserve">.</w:t>
      </w:r>
      <w:r>
        <w:t xml:space="preserve">370</w:t>
      </w:r>
      <w:r>
        <w:rPr/>
        <w:t xml:space="preserve"> (Ergonomics Initiative</w:t>
      </w:r>
      <w:r>
        <w:rPr>
          <w:rFonts w:ascii="Times New Roman" w:hAnsi="Times New Roman"/>
        </w:rPr>
        <w:t xml:space="preserve">—</w:t>
      </w:r>
      <w:r>
        <w:rPr/>
        <w:t xml:space="preserve">Definition</w:t>
      </w:r>
      <w:r>
        <w:rPr>
          <w:rFonts w:ascii="Times New Roman" w:hAnsi="Times New Roman"/>
        </w:rPr>
        <w:t xml:space="preserve">—</w:t>
      </w:r>
      <w:r>
        <w:rPr/>
        <w:t xml:space="preserve">Rule repeal) and 2004 c 1 s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The term "agriculture"</w:t>
      </w:r>
      <w:r>
        <w:t>))</w:t>
      </w:r>
      <w:r>
        <w:rPr/>
        <w:t xml:space="preserve"> </w:t>
      </w:r>
      <w:r>
        <w:rPr>
          <w:u w:val="single"/>
        </w:rPr>
        <w:t xml:space="preserve">(a) "Agriculture"</w:t>
      </w:r>
      <w:r>
        <w:rPr/>
        <w:t xml:space="preserve"> means farming and includes, but is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cultivation and tillage of the soil;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Dairying;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production, cultivation, growing, and harvesting of any agricultural or horticultural commodity;</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raising of livestock, bees, fur-bearing animals, or poultry;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Storage;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Market;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Carriers for transportation to market.</w:t>
      </w:r>
    </w:p>
    <w:p>
      <w:pPr>
        <w:spacing w:before="0" w:after="0" w:line="408" w:lineRule="exact"/>
        <w:ind w:left="0" w:right="0" w:firstLine="576"/>
        <w:jc w:val="left"/>
      </w:pPr>
      <w:r>
        <w:t>((</w:t>
      </w:r>
      <w:r>
        <w:rPr>
          <w:strike/>
        </w:rPr>
        <w:t xml:space="preserve">The term "agriculture"</w:t>
      </w:r>
      <w:r>
        <w:t>))</w:t>
      </w:r>
      <w:r>
        <w:rPr/>
        <w:t xml:space="preserve"> </w:t>
      </w:r>
      <w:r>
        <w:rPr>
          <w:u w:val="single"/>
        </w:rPr>
        <w:t xml:space="preserve">(b) "Agriculture"</w:t>
      </w:r>
      <w:r>
        <w:rPr/>
        <w:t xml:space="preserv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w:t>
      </w:r>
      <w:r>
        <w:t>((</w:t>
      </w:r>
      <w:r>
        <w:rPr>
          <w:strike/>
        </w:rPr>
        <w:t xml:space="preserve">The term "director"</w:t>
      </w:r>
      <w:r>
        <w:t>))</w:t>
      </w:r>
      <w:r>
        <w:rPr/>
        <w:t xml:space="preserve"> </w:t>
      </w:r>
      <w:r>
        <w:rPr>
          <w:u w:val="single"/>
        </w:rPr>
        <w:t xml:space="preserve">"Director"</w:t>
      </w:r>
      <w:r>
        <w:rPr/>
        <w:t xml:space="preserve"> means the director of the department of labor and industries, or his or her designated representative.</w:t>
      </w:r>
    </w:p>
    <w:p>
      <w:pPr>
        <w:spacing w:before="0" w:after="0" w:line="408" w:lineRule="exact"/>
        <w:ind w:left="0" w:right="0" w:firstLine="576"/>
        <w:jc w:val="left"/>
      </w:pPr>
      <w:r>
        <w:rPr/>
        <w:t xml:space="preserve">(3) </w:t>
      </w:r>
      <w:r>
        <w:t>((</w:t>
      </w:r>
      <w:r>
        <w:rPr>
          <w:strike/>
        </w:rPr>
        <w:t xml:space="preserve">The term "department"</w:t>
      </w:r>
      <w:r>
        <w:t>))</w:t>
      </w:r>
      <w:r>
        <w:rPr/>
        <w:t xml:space="preserve"> </w:t>
      </w:r>
      <w:r>
        <w:rPr>
          <w:u w:val="single"/>
        </w:rPr>
        <w:t xml:space="preserve">"Department"</w:t>
      </w:r>
      <w:r>
        <w:rPr/>
        <w:t xml:space="preserve"> means the department of labor and industries.</w:t>
      </w:r>
    </w:p>
    <w:p>
      <w:pPr>
        <w:spacing w:before="0" w:after="0" w:line="408" w:lineRule="exact"/>
        <w:ind w:left="0" w:right="0" w:firstLine="576"/>
        <w:jc w:val="left"/>
      </w:pPr>
      <w:r>
        <w:rPr/>
        <w:t xml:space="preserve">(4) </w:t>
      </w:r>
      <w:r>
        <w:t>((</w:t>
      </w:r>
      <w:r>
        <w:rPr>
          <w:strike/>
        </w:rPr>
        <w:t xml:space="preserve">The term "employer"</w:t>
      </w:r>
      <w:r>
        <w:t>))</w:t>
      </w:r>
      <w:r>
        <w:rPr/>
        <w:t xml:space="preserve"> </w:t>
      </w:r>
      <w:r>
        <w:rPr>
          <w:u w:val="single"/>
        </w:rPr>
        <w:t xml:space="preserve">"Employer"</w:t>
      </w:r>
      <w:r>
        <w:rPr/>
        <w:t xml:space="preserve">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w:t>
      </w:r>
      <w:r>
        <w:t>((</w:t>
      </w:r>
      <w:r>
        <w:rPr>
          <w:strike/>
        </w:rPr>
        <w:t xml:space="preserve">The term "employee"</w:t>
      </w:r>
      <w:r>
        <w:t>))</w:t>
      </w:r>
      <w:r>
        <w:rPr/>
        <w:t xml:space="preserve"> </w:t>
      </w:r>
      <w:r>
        <w:rPr>
          <w:u w:val="single"/>
        </w:rPr>
        <w:t xml:space="preserve">"Employee"</w:t>
      </w:r>
      <w:r>
        <w:rPr/>
        <w:t xml:space="preserv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w:t>
      </w:r>
    </w:p>
    <w:p>
      <w:pPr>
        <w:spacing w:before="0" w:after="0" w:line="408" w:lineRule="exact"/>
        <w:ind w:left="0" w:right="0" w:firstLine="576"/>
        <w:jc w:val="left"/>
      </w:pPr>
      <w:r>
        <w:rPr/>
        <w:t xml:space="preserve">(6) </w:t>
      </w:r>
      <w:r>
        <w:t>((</w:t>
      </w:r>
      <w:r>
        <w:rPr>
          <w:strike/>
        </w:rPr>
        <w:t xml:space="preserve">The term "person"</w:t>
      </w:r>
      <w:r>
        <w:t>))</w:t>
      </w:r>
      <w:r>
        <w:rPr/>
        <w:t xml:space="preserve"> </w:t>
      </w:r>
      <w:r>
        <w:rPr>
          <w:u w:val="single"/>
        </w:rPr>
        <w:t xml:space="preserve">"Industry" means any classification in the North American industry classification system structure.</w:t>
      </w:r>
    </w:p>
    <w:p>
      <w:pPr>
        <w:spacing w:before="0" w:after="0" w:line="408" w:lineRule="exact"/>
        <w:ind w:left="0" w:right="0" w:firstLine="576"/>
        <w:jc w:val="left"/>
      </w:pPr>
      <w:r>
        <w:rPr>
          <w:u w:val="single"/>
        </w:rPr>
        <w:t xml:space="preserve">(7) "Person"</w:t>
      </w:r>
      <w:r>
        <w:rPr/>
        <w:t xml:space="preserve"> means one or more individuals, partnerships, associations, corporations, business trusts, legal representatives, or any organized group of persons.</w:t>
      </w:r>
    </w:p>
    <w:p>
      <w:pPr>
        <w:spacing w:before="0" w:after="0" w:line="408" w:lineRule="exact"/>
        <w:ind w:left="0" w:right="0" w:firstLine="576"/>
        <w:jc w:val="left"/>
      </w:pPr>
      <w:r>
        <w:t>((</w:t>
      </w:r>
      <w:r>
        <w:rPr>
          <w:strike/>
        </w:rPr>
        <w:t xml:space="preserve">(7) The term "safety and health standard"</w:t>
      </w:r>
      <w:r>
        <w:t>))</w:t>
      </w:r>
      <w:r>
        <w:rPr/>
        <w:t xml:space="preserve"> </w:t>
      </w:r>
      <w:r>
        <w:rPr>
          <w:u w:val="single"/>
        </w:rPr>
        <w:t xml:space="preserve">(8) "Risk classification" means any classification defined in chapter 296-17A WAC classifications for Washington workers' compensation insurance.</w:t>
      </w:r>
    </w:p>
    <w:p>
      <w:pPr>
        <w:spacing w:before="0" w:after="0" w:line="408" w:lineRule="exact"/>
        <w:ind w:left="0" w:right="0" w:firstLine="576"/>
        <w:jc w:val="left"/>
      </w:pPr>
      <w:r>
        <w:rPr>
          <w:u w:val="single"/>
        </w:rPr>
        <w:t xml:space="preserve">(9) "Safety and health standard"</w:t>
      </w:r>
      <w:r>
        <w:rPr/>
        <w:t xml:space="preserve">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t>((</w:t>
      </w:r>
      <w:r>
        <w:rPr>
          <w:strike/>
        </w:rPr>
        <w:t xml:space="preserve">(8) The term "workplace"</w:t>
      </w:r>
      <w:r>
        <w:t>))</w:t>
      </w:r>
      <w:r>
        <w:rPr/>
        <w:t xml:space="preserve"> </w:t>
      </w:r>
      <w:r>
        <w:rPr>
          <w:u w:val="single"/>
        </w:rPr>
        <w:t xml:space="preserve">(10) "Workplace"</w:t>
      </w:r>
      <w:r>
        <w:rPr/>
        <w:t xml:space="preserv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t>((</w:t>
      </w:r>
      <w:r>
        <w:rPr>
          <w:strike/>
        </w:rPr>
        <w:t xml:space="preserve">(9) The term "working day"</w:t>
      </w:r>
      <w:r>
        <w:t>))</w:t>
      </w:r>
      <w:r>
        <w:rPr/>
        <w:t xml:space="preserve"> </w:t>
      </w:r>
      <w:r>
        <w:rPr>
          <w:u w:val="single"/>
        </w:rPr>
        <w:t xml:space="preserve">(11) "Working day"</w:t>
      </w:r>
      <w:r>
        <w:rPr/>
        <w:t xml:space="preserve">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may adopt rules related to </w:t>
      </w:r>
      <w:r>
        <w:rPr/>
        <w:t xml:space="preserve">preventing musculoskeletal injuries and disorders that provide standards for an industry or risk class, subject to the limits in this section.</w:t>
      </w:r>
    </w:p>
    <w:p>
      <w:pPr>
        <w:spacing w:before="0" w:after="0" w:line="408" w:lineRule="exact"/>
        <w:ind w:left="0" w:right="0" w:firstLine="576"/>
        <w:jc w:val="left"/>
      </w:pPr>
      <w:r>
        <w:rPr/>
        <w:t xml:space="preserve">(2) Within a 12-month period, the department may not adopt more than one set of rules related to preventing musculoskeletal injuries and disorders for an industry or risk class that previously did not have rules related to preventing musculoskeletal injuries and disorders.</w:t>
      </w:r>
    </w:p>
    <w:p>
      <w:pPr>
        <w:spacing w:before="0" w:after="0" w:line="408" w:lineRule="exact"/>
        <w:ind w:left="0" w:right="0" w:firstLine="576"/>
        <w:jc w:val="left"/>
      </w:pPr>
      <w:r>
        <w:rPr/>
        <w:t xml:space="preserve">(3) Rules providing standards may only be adopted for industries or risk classes where compensable workers' compensation claims involved musculoskeletal injuries and disorders at a rate greater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(4)(a) Within 90 days of the department filing a preproposal statement of inquiry (CR-101) for industry or risk class specific rules related to preventing musculoskeletal injuries and disorders, the department must provide a report to the appropriate committees of the legislature. The report must include the criteria the department used to select the industry or rate risk class that will be subject to the rules and a description of the rule-making procedures under chapter 34.05 RCW which the department will follow for the specific rules.</w:t>
      </w:r>
    </w:p>
    <w:p>
      <w:pPr>
        <w:spacing w:before="0" w:after="0" w:line="408" w:lineRule="exact"/>
        <w:ind w:left="0" w:right="0" w:firstLine="576"/>
        <w:jc w:val="left"/>
      </w:pPr>
      <w:r>
        <w:rPr/>
        <w:t xml:space="preserve">(b) At least annually, the department must publish a list of industries and risk classes eligible for rule making under this section.</w:t>
      </w:r>
    </w:p>
    <w:p>
      <w:pPr>
        <w:spacing w:before="0" w:after="0" w:line="408" w:lineRule="exact"/>
        <w:ind w:left="0" w:right="0" w:firstLine="576"/>
        <w:jc w:val="left"/>
      </w:pPr>
      <w:r>
        <w:rPr/>
        <w:t xml:space="preserve">(5) For employee home offices, the director shall not have the authority to adopt any new or amended rules dealing with musculoskeletal injuries and disorders, or that deal with the same or similar activities as the rules which were repealed in former RCW 49.17.370 for employee home offices, until and to the extent comparable rules applying to employee home offices are required by congress or the federal occupational safety and health administration.</w:t>
      </w:r>
    </w:p>
    <w:p>
      <w:pPr>
        <w:spacing w:before="0" w:after="0" w:line="408" w:lineRule="exact"/>
        <w:ind w:left="0" w:right="0" w:firstLine="576"/>
        <w:jc w:val="left"/>
      </w:pPr>
      <w:r>
        <w:rPr/>
        <w:t xml:space="preserve">(6) The limit on rule making in this section does not apply to rules adopted or amended where required by the federal occupational safety and health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director is authorized, in the director's discretion, to provide funding to employers to purchase additional equipment that may be needed to comply with a rule adopted under section 4 of this act. The maximum amount of funding each year</w:t>
      </w:r>
      <w:r>
        <w:rPr/>
        <w:t xml:space="preserve"> is two percent of the premiums paid into the accident fund in the prior year from the risk classes that include employers subject to a rule adopted under section 4 of this act.</w:t>
      </w:r>
    </w:p>
    <w:p>
      <w:pPr>
        <w:spacing w:before="0" w:after="0" w:line="408" w:lineRule="exact"/>
        <w:ind w:left="0" w:right="0" w:firstLine="576"/>
        <w:jc w:val="left"/>
      </w:pPr>
      <w:r>
        <w:rPr/>
        <w:t xml:space="preserve">(2) Only employers who pay premiums to the state fund as defined in RCW 51.08.175 and are subject to a rule adopted under section 4 of this act are eligible for funding under this section.</w:t>
      </w:r>
    </w:p>
    <w:p>
      <w:pPr>
        <w:spacing w:before="0" w:after="0" w:line="408" w:lineRule="exact"/>
        <w:ind w:left="0" w:right="0" w:firstLine="576"/>
        <w:jc w:val="left"/>
      </w:pPr>
      <w:r>
        <w:rPr/>
        <w:t xml:space="preserve">(3) An appropriation is not required for these expenditures.</w:t>
      </w:r>
    </w:p>
    <w:p>
      <w:pPr>
        <w:spacing w:before="0" w:after="0" w:line="408" w:lineRule="exact"/>
        <w:ind w:left="0" w:right="0" w:firstLine="576"/>
        <w:jc w:val="left"/>
      </w:pPr>
      <w:r>
        <w:rPr/>
        <w:t xml:space="preserve">(4) The department may adopt rules to implement this section.</w:t>
      </w:r>
    </w:p>
    <w:p/>
    <w:p>
      <w:pPr>
        <w:jc w:val="center"/>
      </w:pPr>
      <w:r>
        <w:rPr>
          <w:b/>
        </w:rPr>
        <w:t>--- END ---</w:t>
      </w:r>
    </w:p>
    <w:sectPr>
      <w:pgNumType w:start="1"/>
      <w:footerReference xmlns:r="http://schemas.openxmlformats.org/officeDocument/2006/relationships" r:id="R6073513bd2764b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1ceb1e2264afa" /><Relationship Type="http://schemas.openxmlformats.org/officeDocument/2006/relationships/footer" Target="/word/footer1.xml" Id="R6073513bd2764bc0" /></Relationships>
</file>