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e27a28c854de5" /></Relationships>
</file>

<file path=word/document.xml><?xml version="1.0" encoding="utf-8"?>
<w:document xmlns:w="http://schemas.openxmlformats.org/wordprocessingml/2006/main">
  <w:body>
    <w:p>
      <w:r>
        <w:t>S-1217.3</w:t>
      </w:r>
    </w:p>
    <w:p>
      <w:pPr>
        <w:jc w:val="center"/>
      </w:pPr>
      <w:r>
        <w:t>_______________________________________________</w:t>
      </w:r>
    </w:p>
    <w:p/>
    <w:p>
      <w:pPr>
        <w:jc w:val="center"/>
      </w:pPr>
      <w:r>
        <w:rPr>
          <w:b/>
        </w:rPr>
        <w:t>SUBSTITUTE SENATE BILL 5226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Padden and L.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corrections' duty to ensure public safety by positively changing lives through pursuing open active warrants of persons who have violated the terms of their supervision; and amending RCW 72.09.010, 9.94A.704, and 9.94A.631.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system should ensure the public safety </w:t>
      </w:r>
      <w:r>
        <w:rPr>
          <w:u w:val="single"/>
        </w:rPr>
        <w:t xml:space="preserve">by positively changing lives</w:t>
      </w:r>
      <w:r>
        <w:rPr/>
        <w:t xml:space="preserve">. The system should be designed and managed to provide the maximum feasible safety for the persons and property of the general public, the staff, and </w:t>
      </w:r>
      <w:r>
        <w:t>((</w:t>
      </w:r>
      <w:r>
        <w:rPr>
          <w:strike/>
        </w:rPr>
        <w:t xml:space="preserve">the inmates</w:t>
      </w:r>
      <w:r>
        <w:t>))</w:t>
      </w:r>
      <w:r>
        <w:rPr/>
        <w:t xml:space="preserve"> </w:t>
      </w:r>
      <w:r>
        <w:rPr>
          <w:u w:val="single"/>
        </w:rPr>
        <w:t xml:space="preserve">those who are incarcerated or under supervision</w:t>
      </w:r>
      <w:r>
        <w:rPr/>
        <w:t xml:space="preserve">.</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The department shall make every reasonable effort to pursue active warrants of offenders who have violated the terms of their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2020 c 82 s 2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until a prosecuting attorney charges the offender with a crime, or until a prosecuting attorney provides written notice to the department that new charges will not be filed,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w:t>
      </w:r>
      <w:r>
        <w:t>((</w:t>
      </w:r>
      <w:r>
        <w:rPr>
          <w:strike/>
        </w:rPr>
        <w:t xml:space="preserve">, where room is available,</w:t>
      </w:r>
      <w:r>
        <w:t>))</w:t>
      </w:r>
      <w:r>
        <w:rPr/>
        <w:t xml:space="preserve"> all prisoners delivered to the jail by the community corrections officer, and such offenders shall not be released from custody on bail or personal recognizance, except upon approval of the court or authorized department staff, pursuant to a written order.</w:t>
      </w:r>
    </w:p>
    <w:p/>
    <w:p>
      <w:pPr>
        <w:jc w:val="center"/>
      </w:pPr>
      <w:r>
        <w:rPr>
          <w:b/>
        </w:rPr>
        <w:t>--- END ---</w:t>
      </w:r>
    </w:p>
    <w:sectPr>
      <w:pgNumType w:start="1"/>
      <w:footerReference xmlns:r="http://schemas.openxmlformats.org/officeDocument/2006/relationships" r:id="R602f391b81e149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8e96c82be4da4" /><Relationship Type="http://schemas.openxmlformats.org/officeDocument/2006/relationships/footer" Target="/word/footer1.xml" Id="R602f391b81e14917" /></Relationships>
</file>