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4c406a92a4bbd" /></Relationships>
</file>

<file path=word/document.xml><?xml version="1.0" encoding="utf-8"?>
<w:document xmlns:w="http://schemas.openxmlformats.org/wordprocessingml/2006/main">
  <w:body>
    <w:p>
      <w:r>
        <w:t>S-0037.1</w:t>
      </w:r>
    </w:p>
    <w:p>
      <w:pPr>
        <w:jc w:val="center"/>
      </w:pPr>
      <w:r>
        <w:t>_______________________________________________</w:t>
      </w:r>
    </w:p>
    <w:p/>
    <w:p>
      <w:pPr>
        <w:jc w:val="center"/>
      </w:pPr>
      <w:r>
        <w:rPr>
          <w:b/>
        </w:rPr>
        <w:t>SENATE BILL 5226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and L. Wilson</w:t>
      </w:r>
    </w:p>
    <w:p/>
    <w:p>
      <w:r>
        <w:rPr>
          <w:t xml:space="preserve">Read first time 01/10/23.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corrections' highest duty to ensure public safety through the prioritization of open active warrants of persons who have violated the terms of their supervision; and amending RCW 72.09.010 and 9.94A.704.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2022 c 29 s 9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and</w:t>
      </w:r>
    </w:p>
    <w:p>
      <w:pPr>
        <w:spacing w:before="0" w:after="0" w:line="408" w:lineRule="exact"/>
        <w:ind w:left="0" w:right="0" w:firstLine="576"/>
        <w:jc w:val="left"/>
      </w:pPr>
      <w:r>
        <w:rPr/>
        <w:t xml:space="preserve">(d)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0" w:after="0" w:line="408" w:lineRule="exact"/>
        <w:ind w:left="0" w:right="0" w:firstLine="576"/>
        <w:jc w:val="left"/>
      </w:pPr>
      <w:r>
        <w:rPr>
          <w:u w:val="single"/>
        </w:rPr>
        <w:t xml:space="preserve">(12) The department shall make every reasonable effort and prioritize staffing to pursue active warrants of offenders who have violated the terms of their supervision.</w:t>
      </w:r>
    </w:p>
    <w:p/>
    <w:p>
      <w:pPr>
        <w:jc w:val="center"/>
      </w:pPr>
      <w:r>
        <w:rPr>
          <w:b/>
        </w:rPr>
        <w:t>--- END ---</w:t>
      </w:r>
    </w:p>
    <w:sectPr>
      <w:pgNumType w:start="1"/>
      <w:footerReference xmlns:r="http://schemas.openxmlformats.org/officeDocument/2006/relationships" r:id="R06951674909745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5cde2e3674fdd" /><Relationship Type="http://schemas.openxmlformats.org/officeDocument/2006/relationships/footer" Target="/word/footer1.xml" Id="R0695167490974569" /></Relationships>
</file>