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c56468618a4350" /></Relationships>
</file>

<file path=word/document.xml><?xml version="1.0" encoding="utf-8"?>
<w:document xmlns:w="http://schemas.openxmlformats.org/wordprocessingml/2006/main">
  <w:body>
    <w:p>
      <w:r>
        <w:t>S-0521.1</w:t>
      </w:r>
    </w:p>
    <w:p>
      <w:pPr>
        <w:jc w:val="center"/>
      </w:pPr>
      <w:r>
        <w:t>_______________________________________________</w:t>
      </w:r>
    </w:p>
    <w:p/>
    <w:p>
      <w:pPr>
        <w:jc w:val="center"/>
      </w:pPr>
      <w:r>
        <w:rPr>
          <w:b/>
        </w:rPr>
        <w:t>SENATE BILL 5249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Frame, Hunt, Kuderer, Lovick, Nguyen, Nobles, Saldaña, Stanford, and C. Wilson</w:t>
      </w:r>
    </w:p>
    <w:p/>
    <w:p>
      <w:r>
        <w:rPr>
          <w:t xml:space="preserve">Read first time 01/11/23.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working families' tax credit to everyone age 18 and older; amending 2021 c 195 s 4 (uncodified); reenacting and amending RCW 82.08.0206; creating a new section;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r>
        <w:t>((</w:t>
      </w:r>
      <w:r>
        <w:rPr>
          <w:strike/>
        </w:rPr>
        <w:t xml:space="preserve">:</w:t>
      </w:r>
    </w:p>
    <w:p>
      <w:pPr>
        <w:spacing w:before="0" w:after="0" w:line="408" w:lineRule="exact"/>
        <w:ind w:left="0" w:right="0" w:firstLine="576"/>
        <w:jc w:val="left"/>
      </w:pPr>
      <w:r>
        <w:rPr>
          <w:strike/>
        </w:rPr>
        <w:t xml:space="preserve">(A) Meets</w:t>
      </w:r>
      <w:r>
        <w:t>))</w:t>
      </w:r>
      <w:r>
        <w:rPr/>
        <w:t xml:space="preserve"> </w:t>
      </w:r>
      <w:r>
        <w:rPr>
          <w:u w:val="single"/>
        </w:rPr>
        <w:t xml:space="preserve">meets</w:t>
      </w:r>
      <w:r>
        <w:rPr/>
        <w:t xml:space="preserve"> the requirements provided in (a)(i)(B) of this subsection</w:t>
      </w:r>
      <w:r>
        <w:t>((</w:t>
      </w:r>
      <w:r>
        <w:rPr>
          <w:strike/>
        </w:rPr>
        <w:t xml:space="preserve">; and</w:t>
      </w:r>
    </w:p>
    <w:p>
      <w:pPr>
        <w:spacing w:before="0" w:after="0" w:line="408" w:lineRule="exact"/>
        <w:ind w:left="0" w:right="0" w:firstLine="576"/>
        <w:jc w:val="left"/>
      </w:pPr>
      <w:r>
        <w:rPr>
          <w:strike/>
        </w:rPr>
        <w:t xml:space="preserve">(B)</w:t>
      </w:r>
      <w:r>
        <w:t>))</w:t>
      </w:r>
      <w:r>
        <w:rPr/>
        <w:t xml:space="preserve"> </w:t>
      </w:r>
      <w:r>
        <w:rPr>
          <w:u w:val="single"/>
        </w:rPr>
        <w:t xml:space="preserve">and:</w:t>
      </w:r>
    </w:p>
    <w:p>
      <w:pPr>
        <w:spacing w:before="0" w:after="0" w:line="408" w:lineRule="exact"/>
        <w:ind w:left="0" w:right="0" w:firstLine="576"/>
        <w:jc w:val="left"/>
      </w:pPr>
      <w:r>
        <w:rPr>
          <w:u w:val="single"/>
        </w:rPr>
        <w:t xml:space="preserve">(A)</w:t>
      </w:r>
      <w:r>
        <w:rPr/>
        <w:t xml:space="preserve"> Would otherwise qualify for the credit provided in Title 26 U.S.C. Sec. 32 of the internal revenue code except for the fact that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r>
        <w:rPr>
          <w:u w:val="single"/>
        </w:rPr>
        <w:t xml:space="preserve">; or</w:t>
      </w:r>
    </w:p>
    <w:p>
      <w:pPr>
        <w:spacing w:before="0" w:after="0" w:line="408" w:lineRule="exact"/>
        <w:ind w:left="0" w:right="0" w:firstLine="576"/>
        <w:jc w:val="left"/>
      </w:pPr>
      <w:r>
        <w:rPr>
          <w:u w:val="single"/>
        </w:rPr>
        <w:t xml:space="preserve">(B) Would otherwise qualify for the credit provided in Title 26 U.S.C. Sec. 32 of the internal revenue code except that they do not meet the age requirement, but are at least age 18 by the end of the prior federal tax year</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or equal to one cent,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Application for the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the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195 s 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rPr>
          <w:u w:val="single"/>
        </w:rPr>
        <w:t xml:space="preserve">and section 1, chapter . . ., Laws of 2023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w:t>
      </w:r>
      <w:r>
        <w:t>((</w:t>
      </w:r>
      <w:r>
        <w:rPr>
          <w:strike/>
        </w:rPr>
        <w:t xml:space="preserve">this act shall</w:t>
      </w:r>
      <w:r>
        <w:t>))</w:t>
      </w:r>
      <w:r>
        <w:rPr/>
        <w:t xml:space="preserve"> </w:t>
      </w:r>
      <w:r>
        <w:rPr>
          <w:u w:val="single"/>
        </w:rPr>
        <w:t xml:space="preserve">RCW 82.08.0206</w:t>
      </w:r>
      <w:r>
        <w:rPr/>
        <w:t xml:space="preserve"> expire</w:t>
      </w:r>
      <w:r>
        <w:rPr>
          <w:u w:val="single"/>
        </w:rPr>
        <w:t xml:space="preserve">s</w:t>
      </w:r>
      <w:r>
        <w:rPr/>
        <w:t xml:space="preserve"> at the end of the calendar year two years after the adoption of the final report containing that finding. </w:t>
      </w:r>
      <w:r>
        <w:rPr>
          <w:u w:val="single"/>
        </w:rPr>
        <w:t xml:space="preserve">The joint legislative audit and review committee shall provide written notice of the expiration date of RCW 82.08.0206 to affected parties, the department of revenue, the chief clerk of the house of representatives, the secretary of the senate, the office of the code reviser, and others as deemed appropriate by the joint legislative audit and review committee.</w:t>
      </w:r>
      <w:r>
        <w:rPr/>
        <w:t xml:space="preserv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
      <w:pPr>
        <w:jc w:val="center"/>
      </w:pPr>
      <w:r>
        <w:rPr>
          <w:b/>
        </w:rPr>
        <w:t>--- END ---</w:t>
      </w:r>
    </w:p>
    <w:sectPr>
      <w:pgNumType w:start="1"/>
      <w:footerReference xmlns:r="http://schemas.openxmlformats.org/officeDocument/2006/relationships" r:id="Rd9039322be4a48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e343a362b84060" /><Relationship Type="http://schemas.openxmlformats.org/officeDocument/2006/relationships/footer" Target="/word/footer1.xml" Id="Rd9039322be4a4866" /></Relationships>
</file>