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ac2f3c43714989" /></Relationships>
</file>

<file path=word/document.xml><?xml version="1.0" encoding="utf-8"?>
<w:document xmlns:w="http://schemas.openxmlformats.org/wordprocessingml/2006/main">
  <w:body>
    <w:p>
      <w:r>
        <w:t>S-2517.2</w:t>
      </w:r>
    </w:p>
    <w:p>
      <w:pPr>
        <w:jc w:val="center"/>
      </w:pPr>
      <w:r>
        <w:t>_______________________________________________</w:t>
      </w:r>
    </w:p>
    <w:p/>
    <w:p>
      <w:pPr>
        <w:jc w:val="center"/>
      </w:pPr>
      <w:r>
        <w:rPr>
          <w:b/>
        </w:rPr>
        <w:t>SUBSTITUTE SENATE BILL 5293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Rolfes, Robinson, Kuderer, Nobles, and Van De Wege; by request of Office of Financial Management)</w:t>
      </w:r>
    </w:p>
    <w:p/>
    <w:p>
      <w:r>
        <w:rPr>
          <w:t xml:space="preserve">READ FIRST TIME 03/28/23.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accounts; amending RCW 43.41.450, 41.06.280, 41.06.285, 82.25.015, 41.05.120, 28A.505.130, 70A.65.250, 43.84.092, and 43.84.092; reenacting and amending RCW 43.79.567; reenacting RCW 43.330.365; adding new sections to chapter 43.79 RCW; adding a new section to chapter 38.52 RCW;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450</w:t>
      </w:r>
      <w:r>
        <w:rPr/>
        <w:t xml:space="preserve"> and 2022 c 297 s 953 are each amended to read as follows:</w:t>
      </w:r>
    </w:p>
    <w:p>
      <w:pPr>
        <w:spacing w:before="0" w:after="0" w:line="408" w:lineRule="exact"/>
        <w:ind w:left="0" w:right="0" w:firstLine="576"/>
        <w:jc w:val="left"/>
      </w:pPr>
      <w:r>
        <w:rPr/>
        <w:t xml:space="preserve">The office of financial management central service account is created in the state treasury. The account is to be used by the office as a revolving fund for the payment of salaries, wages, and other costs required for the operation and maintenance of statewide budgeting, accounting, forecasting, and functions and activities in the office. All receipts from agency fees and charges for services collected from public agencies must be deposited into the account. The director shall fix the terms and charges to agencies based on each agency's share of the office statewide cost allocation plan for federal funds. Moneys in the account may be spent only after appropriation. During the </w:t>
      </w:r>
      <w:r>
        <w:t>((</w:t>
      </w:r>
      <w:r>
        <w:rPr>
          <w:strike/>
        </w:rPr>
        <w:t xml:space="preserve">2017-2019 and</w:t>
      </w:r>
      <w:r>
        <w:t>))</w:t>
      </w:r>
      <w:r>
        <w:rPr/>
        <w:t xml:space="preserve"> 2021-2023 fiscal </w:t>
      </w:r>
      <w:r>
        <w:t>((</w:t>
      </w:r>
      <w:r>
        <w:rPr>
          <w:strike/>
        </w:rPr>
        <w:t xml:space="preserve">biennia</w:t>
      </w:r>
      <w:r>
        <w:t>))</w:t>
      </w:r>
      <w:r>
        <w:rPr/>
        <w:t xml:space="preserve"> </w:t>
      </w:r>
      <w:r>
        <w:rPr>
          <w:u w:val="single"/>
        </w:rPr>
        <w:t xml:space="preserve">biennium</w:t>
      </w:r>
      <w:r>
        <w:rPr/>
        <w:t xml:space="preserve">, the account may be used as a revolving fund for the payment of salaries, wages, and other costs related to policy activities in the office. </w:t>
      </w:r>
      <w:r>
        <w:t>((</w:t>
      </w:r>
      <w:r>
        <w:rPr>
          <w:strike/>
        </w:rPr>
        <w:t xml:space="preserve">The legislature intends to continue the use of the revolving fund for policy activities during the 2019-2021 biennium.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280</w:t>
      </w:r>
      <w:r>
        <w:rPr/>
        <w:t xml:space="preserve"> and 2022 c 157 s 12 are each amended to read as follows:</w:t>
      </w:r>
    </w:p>
    <w:p>
      <w:pPr>
        <w:spacing w:before="0" w:after="0" w:line="408" w:lineRule="exact"/>
        <w:ind w:left="0" w:right="0" w:firstLine="576"/>
        <w:jc w:val="left"/>
      </w:pPr>
      <w:r>
        <w:rPr/>
        <w:t xml:space="preserve">(1) </w:t>
      </w:r>
      <w:r>
        <w:t>((</w:t>
      </w:r>
      <w:r>
        <w:rPr>
          <w:strike/>
        </w:rPr>
        <w:t xml:space="preserve">There is hereby</w:t>
      </w:r>
      <w:r>
        <w:t>))</w:t>
      </w:r>
      <w:r>
        <w:rPr/>
        <w:t xml:space="preserve"> </w:t>
      </w:r>
      <w:r>
        <w:rPr>
          <w:u w:val="single"/>
        </w:rPr>
        <w:t xml:space="preserve">The personnel service fund is</w:t>
      </w:r>
      <w:r>
        <w:rPr/>
        <w:t xml:space="preserve"> created </w:t>
      </w:r>
      <w:r>
        <w:t>((</w:t>
      </w:r>
      <w:r>
        <w:rPr>
          <w:strike/>
        </w:rPr>
        <w:t xml:space="preserve">a fund within</w:t>
      </w:r>
      <w:r>
        <w:t>))</w:t>
      </w:r>
      <w:r>
        <w:rPr/>
        <w:t xml:space="preserve"> </w:t>
      </w:r>
      <w:r>
        <w:rPr>
          <w:u w:val="single"/>
        </w:rPr>
        <w:t xml:space="preserve">in</w:t>
      </w:r>
      <w:r>
        <w:rPr/>
        <w:t xml:space="preserve"> the state treasury, </w:t>
      </w:r>
      <w:r>
        <w:t>((</w:t>
      </w:r>
      <w:r>
        <w:rPr>
          <w:strike/>
        </w:rPr>
        <w:t xml:space="preserve">designated as the "personnel service fund,"</w:t>
      </w:r>
      <w:r>
        <w:t>))</w:t>
      </w:r>
      <w:r>
        <w:rPr/>
        <w:t xml:space="preserve"> to be used by the office of financial management as a revolving fund for the payment of salaries, wages, and operations required for the administration of the provisions of this chapter, applicable provisions of chapter 41.04 RCW, and chapter 41.60 RCW. An amount not to exceed one and one-half percent of the salaries and wages for all positions </w:t>
      </w:r>
      <w:r>
        <w:t>((</w:t>
      </w:r>
      <w:r>
        <w:rPr>
          <w:strike/>
        </w:rPr>
        <w:t xml:space="preserve">in the classified service</w:t>
      </w:r>
      <w:r>
        <w:t>))</w:t>
      </w:r>
      <w:r>
        <w:rPr/>
        <w:t xml:space="preserve"> in each of the agencies subject to this chapter, except the institutions of higher education, shall be charged to the operations appropriations of each agency and credited to the personnel service fund as the allotments are approved pursuant to chapter 43.88 RCW. Subject to the above limitations, the amount shall be charged against the allotments pro rata, at a rate to be fixed by the director from time to time which, together with income derived from services rendered under RCW 41.06.080, will provide the office of financial management with funds to meet its anticipated expenditures during the allotment period, including the training requirements in RCW 41.06.500 and 41.06.530. </w:t>
      </w:r>
      <w:r>
        <w:t>((</w:t>
      </w:r>
      <w:r>
        <w:rPr>
          <w:strike/>
        </w:rPr>
        <w:t xml:space="preserve">All revenues, net of expenditures, previously derived from services provided by the department of enterprise services under RCW 41.06.080 must be transferred to the enterprise services account.</w:t>
      </w:r>
      <w:r>
        <w:t>))</w:t>
      </w:r>
    </w:p>
    <w:p>
      <w:pPr>
        <w:spacing w:before="0" w:after="0" w:line="408" w:lineRule="exact"/>
        <w:ind w:left="0" w:right="0" w:firstLine="576"/>
        <w:jc w:val="left"/>
      </w:pPr>
      <w:r>
        <w:rPr/>
        <w:t xml:space="preserve">(2) The director shall fix the terms and charges for services rendered by the office of financial management pursuant to RCW 41.06.080, which amounts shall be credited to the personnel service fund and charged against the proper fund or appropriation of the recipient of such services </w:t>
      </w:r>
      <w:r>
        <w:rPr>
          <w:u w:val="single"/>
        </w:rPr>
        <w:t xml:space="preserve">no longer than</w:t>
      </w:r>
      <w:r>
        <w:rPr/>
        <w:t xml:space="preserve"> on a </w:t>
      </w:r>
      <w:r>
        <w:t>((</w:t>
      </w:r>
      <w:r>
        <w:rPr>
          <w:strike/>
        </w:rPr>
        <w:t xml:space="preserve">monthly</w:t>
      </w:r>
      <w:r>
        <w:t>))</w:t>
      </w:r>
      <w:r>
        <w:rPr/>
        <w:t xml:space="preserve"> </w:t>
      </w:r>
      <w:r>
        <w:rPr>
          <w:u w:val="single"/>
        </w:rPr>
        <w:t xml:space="preserve">quarterly</w:t>
      </w:r>
      <w:r>
        <w:rPr/>
        <w:t xml:space="preserve"> basis. Payment for services so rendered under RCW 41.06.080 shall be made </w:t>
      </w:r>
      <w:r>
        <w:t>((</w:t>
      </w:r>
      <w:r>
        <w:rPr>
          <w:strike/>
        </w:rPr>
        <w:t xml:space="preserve">on a monthly basis</w:t>
      </w:r>
      <w:r>
        <w:t>))</w:t>
      </w:r>
      <w:r>
        <w:rPr/>
        <w:t xml:space="preserve"> </w:t>
      </w:r>
      <w:r>
        <w:rPr>
          <w:u w:val="single"/>
        </w:rPr>
        <w:t xml:space="preserve">according to the state administrative and accounting manual (SAAM)</w:t>
      </w:r>
      <w:r>
        <w:rPr/>
        <w:t xml:space="preserve"> to the state treasurer and deposited in the personnel service fund.</w:t>
      </w:r>
    </w:p>
    <w:p>
      <w:pPr>
        <w:spacing w:before="0" w:after="0" w:line="408" w:lineRule="exact"/>
        <w:ind w:left="0" w:right="0" w:firstLine="576"/>
        <w:jc w:val="left"/>
      </w:pPr>
      <w:r>
        <w:rPr/>
        <w:t xml:space="preserve">(3) </w:t>
      </w:r>
      <w:r>
        <w:t>((</w:t>
      </w:r>
      <w:r>
        <w:rPr>
          <w:strike/>
        </w:rPr>
        <w:t xml:space="preserve">Moneys from the personnel service fund shall be disbursed by the state treasurer by warrants on vouchers duly authorized by the office of financial management.</w:t>
      </w:r>
    </w:p>
    <w:p>
      <w:pPr>
        <w:spacing w:before="0" w:after="0" w:line="408" w:lineRule="exact"/>
        <w:ind w:left="0" w:right="0" w:firstLine="576"/>
        <w:jc w:val="left"/>
      </w:pPr>
      <w:r>
        <w:rPr>
          <w:strike/>
        </w:rPr>
        <w:t xml:space="preserve">(4)</w:t>
      </w:r>
      <w:r>
        <w:t>))</w:t>
      </w:r>
      <w:r>
        <w:rPr/>
        <w:t xml:space="preserve"> The office of financial management may use the personnel service fund to administer an employee transit pass program and other employment benefits. The office of financial management must bill state agencies for the total cost of administering the program and payments received from agencies must be deposited in the personnel service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285</w:t>
      </w:r>
      <w:r>
        <w:rPr/>
        <w:t xml:space="preserve"> and 2011 1st sp.s. c 43 s 420 are each amended to read as follows:</w:t>
      </w:r>
    </w:p>
    <w:p>
      <w:pPr>
        <w:spacing w:before="0" w:after="0" w:line="408" w:lineRule="exact"/>
        <w:ind w:left="0" w:right="0" w:firstLine="576"/>
        <w:jc w:val="left"/>
      </w:pPr>
      <w:r>
        <w:t>((</w:t>
      </w:r>
      <w:r>
        <w:rPr>
          <w:strike/>
        </w:rPr>
        <w:t xml:space="preserve">(1) There is hereby created a</w:t>
      </w:r>
      <w:r>
        <w:t>))</w:t>
      </w:r>
      <w:r>
        <w:rPr/>
        <w:t xml:space="preserve"> </w:t>
      </w:r>
      <w:r>
        <w:rPr>
          <w:u w:val="single"/>
        </w:rPr>
        <w:t xml:space="preserve">The higher education personnel service</w:t>
      </w:r>
      <w:r>
        <w:rPr/>
        <w:t xml:space="preserve"> fund </w:t>
      </w:r>
      <w:r>
        <w:t>((</w:t>
      </w:r>
      <w:r>
        <w:rPr>
          <w:strike/>
        </w:rPr>
        <w:t xml:space="preserve">within</w:t>
      </w:r>
      <w:r>
        <w:t>))</w:t>
      </w:r>
      <w:r>
        <w:rPr/>
        <w:t xml:space="preserve"> </w:t>
      </w:r>
      <w:r>
        <w:rPr>
          <w:u w:val="single"/>
        </w:rPr>
        <w:t xml:space="preserve">is created in</w:t>
      </w:r>
      <w:r>
        <w:rPr/>
        <w:t xml:space="preserve"> the state treasury, </w:t>
      </w:r>
      <w:r>
        <w:t>((</w:t>
      </w:r>
      <w:r>
        <w:rPr>
          <w:strike/>
        </w:rPr>
        <w:t xml:space="preserve">designated as the "higher education personnel service fund,"</w:t>
      </w:r>
      <w:r>
        <w:t>))</w:t>
      </w:r>
      <w:r>
        <w:rPr/>
        <w:t xml:space="preserve"> to be used by the office of financial management as a revolving fund for the payment of salaries, wages, and operations required for the administration of the provisions of </w:t>
      </w:r>
      <w:r>
        <w:rPr>
          <w:u w:val="single"/>
        </w:rPr>
        <w:t xml:space="preserve">this</w:t>
      </w:r>
      <w:r>
        <w:rPr/>
        <w:t xml:space="preserve"> chapter </w:t>
      </w:r>
      <w:r>
        <w:t>((</w:t>
      </w:r>
      <w:r>
        <w:rPr>
          <w:strike/>
        </w:rPr>
        <w:t xml:space="preserve">41.06 RCW</w:t>
      </w:r>
      <w:r>
        <w:t>))</w:t>
      </w:r>
      <w:r>
        <w:rPr/>
        <w:t xml:space="preserve"> and applicable provisions of chapters 41.04 and 41.60 RCW. </w:t>
      </w:r>
      <w:r>
        <w:t>((</w:t>
      </w:r>
      <w:r>
        <w:rPr>
          <w:strike/>
        </w:rPr>
        <w:t xml:space="preserve">Subject to the requirements of subsection (2) of this section, an</w:t>
      </w:r>
      <w:r>
        <w:t>))</w:t>
      </w:r>
      <w:r>
        <w:rPr/>
        <w:t xml:space="preserve"> </w:t>
      </w:r>
      <w:r>
        <w:rPr>
          <w:u w:val="single"/>
        </w:rPr>
        <w:t xml:space="preserve">An</w:t>
      </w:r>
      <w:r>
        <w:rPr/>
        <w:t xml:space="preserve"> amount not to exceed one-half of one percent of the salaries and wages for all positions in the classified service shall be contributed from the operations appropriations of each institution and the state board for community and technical colleges and credited to the higher education personnel service fund as such allotments are approved pursuant to chapter 43.88 RCW. Subject to the above limitations, such amount shall be charged against the allotments pro rata, at a rate to be fixed by the director of financial management from time to time, which will provide the office of financial management with funds to meet its anticipated expenditures during the allotment period.</w:t>
      </w:r>
    </w:p>
    <w:p>
      <w:pPr>
        <w:spacing w:before="0" w:after="0" w:line="408" w:lineRule="exact"/>
        <w:ind w:left="0" w:right="0" w:firstLine="576"/>
        <w:jc w:val="left"/>
      </w:pPr>
      <w:r>
        <w:t>((</w:t>
      </w:r>
      <w:r>
        <w:rPr>
          <w:strike/>
        </w:rPr>
        <w:t xml:space="preserve">(2) If employees of institutions of higher education cease to be classified under this chapter pursuant to an agreement authorized by RCW 41.56.201, each institution of higher education and the state board for community and technical colleges shall continue, for six months after the effective date of the agreement, to make contributions to the higher education personnel service fund based on employee salaries and wages that includes the employees under the agreement. At the expiration of the six-month period, the director of financial management shall make across-the-board reductions in allotments of the higher education personnel service fund for the remainder of the biennium so that the charge to the institutions of higher education and state board for community and technical colleges based on the salaries and wages of the remaining employees of institutions of higher education and related boards classified under this chapter does not increase during the biennium, unless an increase is authorized by the legislature.</w:t>
      </w:r>
    </w:p>
    <w:p>
      <w:pPr>
        <w:spacing w:before="0" w:after="0" w:line="408" w:lineRule="exact"/>
        <w:ind w:left="0" w:right="0" w:firstLine="576"/>
        <w:jc w:val="left"/>
      </w:pPr>
      <w:r>
        <w:rPr>
          <w:strike/>
        </w:rPr>
        <w:t xml:space="preserve">(3) Moneys from the higher education personnel service fund shall be disbursed by the state treasurer by warrants on vouchers duly authorized by the office of financial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GOV central service account is created in the state treasury. The purpose of the account is to fund the office of equity as a revolving fund for the payment of salaries, wages, and other costs required for the operation and maintenance of statewide equity functions, and the activities in the office of equity. All receipts from agency fees and charges for services collected from public agencies must be deposited into the account. Moneys in the account may be spent only after appropriation.</w:t>
      </w:r>
    </w:p>
    <w:p>
      <w:pPr>
        <w:spacing w:before="0" w:after="0" w:line="408" w:lineRule="exact"/>
        <w:ind w:left="0" w:right="0" w:firstLine="576"/>
        <w:jc w:val="left"/>
      </w:pPr>
      <w:r>
        <w:rPr/>
        <w:t xml:space="preserve">(2) The director of financial management shall fix the terms and charges to agencies based on each agency's share of the office of equity statewide cost allocation plans for federal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(1) The opioid abatement settlement account is created in the state treasury. All settlement receipts and moneys that are designated to be used by the state of Washington to abate the opioid epidemic for state use must be deposited into the account. Money in the account may be spent only after appropriation. Expenditures from the account may only be used for future opioid remediation as provided in the applicable settlement. For purposes of this account, "opioid remediation" means the care, treatment, and other programs and expenditures, designed to: (a) Address the use and abuse of opioid products; (b) treat or mitigate opioid use or related disorders; or (c) mitigate other alleged effects of, including those injured as a result of, the opioid epidemic.</w:t>
      </w:r>
    </w:p>
    <w:p>
      <w:pPr>
        <w:spacing w:before="0" w:after="0" w:line="408" w:lineRule="exact"/>
        <w:ind w:left="0" w:right="0" w:firstLine="576"/>
        <w:jc w:val="left"/>
      </w:pPr>
      <w:r>
        <w:rPr/>
        <w:t xml:space="preserve">(2) All money remaining in the state opioid settlement account established under RCW 43.88.195 must be transferred to the opioid abatement settlement account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The state hazard mitigation revolving loan account is created in the state treasury. The purpose of the account is to allow the state to use any federal funds that become available to states from congress to fund a state revolving fund loan program as part of the safeguarding tomorrow through ongoing risk mitigation act. Moneys in the account may be spent only after appropriation. Moneys in the account may only be used, consistent with federal law, to administer the safeguarding tomorrow through ongoing risk mitigation act program, including loans to local and tribal governments for:</w:t>
      </w:r>
    </w:p>
    <w:p>
      <w:pPr>
        <w:spacing w:before="0" w:after="0" w:line="408" w:lineRule="exact"/>
        <w:ind w:left="0" w:right="0" w:firstLine="576"/>
        <w:jc w:val="left"/>
      </w:pPr>
      <w:r>
        <w:rPr/>
        <w:t xml:space="preserve">(a) Carrying out projects designed to mitigate the impact of natural hazards;</w:t>
      </w:r>
    </w:p>
    <w:p>
      <w:pPr>
        <w:spacing w:before="0" w:after="0" w:line="408" w:lineRule="exact"/>
        <w:ind w:left="0" w:right="0" w:firstLine="576"/>
        <w:jc w:val="left"/>
      </w:pPr>
      <w:r>
        <w:rPr/>
        <w:t xml:space="preserve">(b) Zoning and land use planning changes focused on low-impact development and community resiliency;</w:t>
      </w:r>
    </w:p>
    <w:p>
      <w:pPr>
        <w:spacing w:before="0" w:after="0" w:line="408" w:lineRule="exact"/>
        <w:ind w:left="0" w:right="0" w:firstLine="576"/>
        <w:jc w:val="left"/>
      </w:pPr>
      <w:r>
        <w:rPr/>
        <w:t xml:space="preserve">(c) Establishing and carrying out building code enforcement for the protection of the health, safety, and general welfare of the building's users against disasters and natural hazards; and</w:t>
      </w:r>
    </w:p>
    <w:p>
      <w:pPr>
        <w:spacing w:before="0" w:after="0" w:line="408" w:lineRule="exact"/>
        <w:ind w:left="0" w:right="0" w:firstLine="576"/>
        <w:jc w:val="left"/>
      </w:pPr>
      <w:r>
        <w:rPr/>
        <w:t xml:space="preserve">(d) Providing technical assistance.</w:t>
      </w:r>
    </w:p>
    <w:p>
      <w:pPr>
        <w:spacing w:before="0" w:after="0" w:line="408" w:lineRule="exact"/>
        <w:ind w:left="0" w:right="0" w:firstLine="576"/>
        <w:jc w:val="left"/>
      </w:pPr>
      <w:r>
        <w:rPr/>
        <w:t xml:space="preserve">(2) Moneys may also be used for administration and oversight of the safeguarding tomorrow through ongoing risk mitigation act program.</w:t>
      </w:r>
    </w:p>
    <w:p>
      <w:pPr>
        <w:spacing w:before="0" w:after="0" w:line="408" w:lineRule="exact"/>
        <w:ind w:left="0" w:right="0" w:firstLine="576"/>
        <w:jc w:val="left"/>
      </w:pPr>
      <w:r>
        <w:rPr/>
        <w:t xml:space="preserve">(3) Moneys from federal receipts from the safeguarding tomorrow through ongoing risk mitigation act grant, appropriations from the state legislature, transfers from other state funds or accounts, all repayments of moneys borrowed from the account, all interest payments made by borrowers from the account or otherwise earned on the account, or any other lawful source may be deposited into the account. All interest earned on moneys deposited in the account, including repayments, shall remain in the account and may be used for any eligible purpose.</w:t>
      </w:r>
    </w:p>
    <w:p>
      <w:pPr>
        <w:spacing w:before="0" w:after="0" w:line="408" w:lineRule="exact"/>
        <w:ind w:left="0" w:right="0" w:firstLine="576"/>
        <w:jc w:val="left"/>
      </w:pPr>
      <w:r>
        <w:rPr/>
        <w:t xml:space="preserve">(4) The department may adopt such rules as are necessary under RCW 38.52.050 to administer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567</w:t>
      </w:r>
      <w:r>
        <w:rPr/>
        <w:t xml:space="preserve"> and 2022 c 297 s 947 are each reenacted and amended to read as follows:</w:t>
      </w:r>
    </w:p>
    <w:p>
      <w:pPr>
        <w:spacing w:before="0" w:after="0" w:line="408" w:lineRule="exact"/>
        <w:ind w:left="0" w:right="0" w:firstLine="576"/>
        <w:jc w:val="left"/>
      </w:pPr>
      <w:r>
        <w:rPr/>
        <w:t xml:space="preserve">(1) The community reinvestment account is created in the state treasury. Revenues to the account shall consist of appropriations and transfers by the legislature and all other moneys directed for deposit into the account. Moneys in the account may be spent only after appropriation.</w:t>
      </w:r>
    </w:p>
    <w:p>
      <w:pPr>
        <w:spacing w:before="0" w:after="0" w:line="408" w:lineRule="exact"/>
        <w:ind w:left="0" w:right="0" w:firstLine="576"/>
        <w:jc w:val="left"/>
      </w:pPr>
      <w:r>
        <w:rPr/>
        <w:t xml:space="preserve">(2) Expenditures from the account may be used by the department of commerce for:</w:t>
      </w:r>
    </w:p>
    <w:p>
      <w:pPr>
        <w:spacing w:before="0" w:after="0" w:line="408" w:lineRule="exact"/>
        <w:ind w:left="0" w:right="0" w:firstLine="576"/>
        <w:jc w:val="left"/>
      </w:pPr>
      <w:r>
        <w:rPr/>
        <w:t xml:space="preserve">(a) Economic development, which includes addressing wealth disparities to promote asset building such as home ownership and expanding access to financial resources including, but not limited to, grants and loans for small businesses and entrepreneurs, financial literacy training, and other small business training and support activities;</w:t>
      </w:r>
    </w:p>
    <w:p>
      <w:pPr>
        <w:spacing w:before="0" w:after="0" w:line="408" w:lineRule="exact"/>
        <w:ind w:left="0" w:right="0" w:firstLine="576"/>
        <w:jc w:val="left"/>
      </w:pPr>
      <w:r>
        <w:rPr/>
        <w:t xml:space="preserve">(b) Civil and criminal legal assistance to provide postconviction relief and case assistance, including the expungement of criminal records and vacation of criminal convictions;</w:t>
      </w:r>
    </w:p>
    <w:p>
      <w:pPr>
        <w:spacing w:before="0" w:after="0" w:line="408" w:lineRule="exact"/>
        <w:ind w:left="0" w:right="0" w:firstLine="576"/>
        <w:jc w:val="left"/>
      </w:pPr>
      <w:r>
        <w:rPr/>
        <w:t xml:space="preserve">(c) Community-based violence intervention and prevention services, which may include after-school programs focused on providing education and mentorship to youths; </w:t>
      </w:r>
      <w:r>
        <w:t>((</w:t>
      </w:r>
      <w:r>
        <w:rPr>
          <w:strike/>
        </w:rPr>
        <w:t xml:space="preserve">and</w:t>
      </w:r>
      <w:r>
        <w:t>))</w:t>
      </w:r>
    </w:p>
    <w:p>
      <w:pPr>
        <w:spacing w:before="0" w:after="0" w:line="408" w:lineRule="exact"/>
        <w:ind w:left="0" w:right="0" w:firstLine="576"/>
        <w:jc w:val="left"/>
      </w:pPr>
      <w:r>
        <w:rPr/>
        <w:t xml:space="preserve">(d) Reentry services to facilitate successful transitions for persons formerly incarcerated in an adult correctional facility or juvenile residential facility in Washington</w:t>
      </w:r>
      <w:r>
        <w:rPr>
          <w:u w:val="single"/>
        </w:rPr>
        <w:t xml:space="preserve">; and</w:t>
      </w:r>
    </w:p>
    <w:p>
      <w:pPr>
        <w:spacing w:before="0" w:after="0" w:line="408" w:lineRule="exact"/>
        <w:ind w:left="0" w:right="0" w:firstLine="576"/>
        <w:jc w:val="left"/>
      </w:pPr>
      <w:r>
        <w:rPr>
          <w:u w:val="single"/>
        </w:rPr>
        <w:t xml:space="preserve">(e) Agricultural and economic support and services available to historically marginalized communities</w:t>
      </w:r>
      <w:r>
        <w:rPr/>
        <w:t xml:space="preserve">.</w:t>
      </w:r>
    </w:p>
    <w:p>
      <w:pPr>
        <w:spacing w:before="0" w:after="0" w:line="408" w:lineRule="exact"/>
        <w:ind w:left="0" w:right="0" w:firstLine="576"/>
        <w:jc w:val="left"/>
      </w:pPr>
      <w:r>
        <w:rPr/>
        <w:t xml:space="preserve">(3) The distribution of the grants under this section must be done in collaboration with </w:t>
      </w:r>
      <w:r>
        <w:t>((</w:t>
      </w:r>
      <w:r>
        <w:rPr>
          <w:strike/>
        </w:rPr>
        <w:t xml:space="preserve">the governor's office of Indian affairs and</w:t>
      </w:r>
      <w:r>
        <w:t>))</w:t>
      </w:r>
      <w:r>
        <w:rPr/>
        <w:t xml:space="preserve"> "by and for community organizations" as defined by the department of commerce and the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365</w:t>
      </w:r>
      <w:r>
        <w:rPr/>
        <w:t xml:space="preserve"> and 2022 c 297 s 948 are each reenacted to read as follows:</w:t>
      </w:r>
    </w:p>
    <w:p>
      <w:pPr>
        <w:spacing w:before="0" w:after="0" w:line="408" w:lineRule="exact"/>
        <w:ind w:left="0" w:right="0" w:firstLine="576"/>
        <w:jc w:val="left"/>
      </w:pPr>
      <w:r>
        <w:rPr/>
        <w:t xml:space="preserve">The electric vehicle incentive account is created in the state treasury. Revenues to the account shall consist of appropriations and transfers by the legislature and all other moneys directed for deposit into the account. Moneys in the account may only be spent after appropriation. Expenditures from the account may be used for programs and incentives that promote the purchase or conversion to alternative fuel vehicles to further state climate goals under RCW 70A.45.020 and environmental justice goals under 70A.02 RCW, including but not limited to:</w:t>
      </w:r>
    </w:p>
    <w:p>
      <w:pPr>
        <w:spacing w:before="0" w:after="0" w:line="408" w:lineRule="exact"/>
        <w:ind w:left="0" w:right="0" w:firstLine="576"/>
        <w:jc w:val="left"/>
      </w:pPr>
      <w:r>
        <w:rPr/>
        <w:t xml:space="preserve">(1) Income-qualified grant programs to retire vehicles and replace them with alternative fuel vehicles;</w:t>
      </w:r>
    </w:p>
    <w:p>
      <w:pPr>
        <w:spacing w:before="0" w:after="0" w:line="408" w:lineRule="exact"/>
        <w:ind w:left="0" w:right="0" w:firstLine="576"/>
        <w:jc w:val="left"/>
      </w:pPr>
      <w:r>
        <w:rPr/>
        <w:t xml:space="preserve">(2) Programs to provide grants for the installation of electric vehicle infrastructure to support electric vehicle adoption; and</w:t>
      </w:r>
    </w:p>
    <w:p>
      <w:pPr>
        <w:spacing w:before="0" w:after="0" w:line="408" w:lineRule="exact"/>
        <w:ind w:left="0" w:right="0" w:firstLine="576"/>
        <w:jc w:val="left"/>
      </w:pPr>
      <w:r>
        <w:rPr/>
        <w:t xml:space="preserve">(3) Programs to conduct research and public outreach regarding adoption of alternative fuel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25</w:t>
      </w:r>
      <w:r>
        <w:rPr/>
        <w:t xml:space="preserve">.</w:t>
      </w:r>
      <w:r>
        <w:t xml:space="preserve">015</w:t>
      </w:r>
      <w:r>
        <w:rPr/>
        <w:t xml:space="preserve"> and 2019 c 445 s 103 are each amended to read as follows:</w:t>
      </w:r>
    </w:p>
    <w:p>
      <w:pPr>
        <w:spacing w:before="0" w:after="0" w:line="408" w:lineRule="exact"/>
        <w:ind w:left="0" w:right="0" w:firstLine="576"/>
        <w:jc w:val="left"/>
      </w:pPr>
      <w:r>
        <w:rPr/>
        <w:t xml:space="preserve">The foundational public health services account is created in the state treasury. Half of all of the moneys collected from the tax imposed on vapor products under RCW 66.44.010 must be deposited into the account. Moneys in the account may be spent only after appropriation. Moneys in the account are to be used </w:t>
      </w:r>
      <w:r>
        <w:t>((</w:t>
      </w:r>
      <w:r>
        <w:rPr>
          <w:strike/>
        </w:rPr>
        <w:t xml:space="preserve">for the following purposes:</w:t>
      </w:r>
    </w:p>
    <w:p>
      <w:pPr>
        <w:spacing w:before="0" w:after="0" w:line="408" w:lineRule="exact"/>
        <w:ind w:left="0" w:right="0" w:firstLine="576"/>
        <w:jc w:val="left"/>
      </w:pPr>
      <w:r>
        <w:rPr>
          <w:strike/>
        </w:rPr>
        <w:t xml:space="preserve">(1) To</w:t>
      </w:r>
      <w:r>
        <w:t>))</w:t>
      </w:r>
      <w:r>
        <w:rPr/>
        <w:t xml:space="preserve"> </w:t>
      </w:r>
      <w:r>
        <w:rPr>
          <w:u w:val="single"/>
        </w:rPr>
        <w:t xml:space="preserve">to</w:t>
      </w:r>
      <w:r>
        <w:rPr/>
        <w:t xml:space="preserve"> fund foundational health services. </w:t>
      </w:r>
      <w:r>
        <w:t>((</w:t>
      </w:r>
      <w:r>
        <w:rPr>
          <w:strike/>
        </w:rPr>
        <w:t xml:space="preserve">In the 2019-2021 biennium, at least twelve million dollars of the funds deposited into the account must be appropriated for this purpose. Beginning in the 2021-2023 biennium, fifty percent of the funds deposited into the account, but not less than twelve million dollars each biennium, are to be used for this purpose;</w:t>
      </w:r>
    </w:p>
    <w:p>
      <w:pPr>
        <w:spacing w:before="0" w:after="0" w:line="408" w:lineRule="exact"/>
        <w:ind w:left="0" w:right="0" w:firstLine="576"/>
        <w:jc w:val="left"/>
      </w:pPr>
      <w:r>
        <w:rPr>
          <w:strike/>
        </w:rPr>
        <w:t xml:space="preserve">(2) To fund tobacco, vapor product, and nicotine control and prevention, and other substance use prevention and education. Beginning in the 2021-2023 biennium, seventeen percent of the funds deposited into the account are to be used for this purpose;</w:t>
      </w:r>
    </w:p>
    <w:p>
      <w:pPr>
        <w:spacing w:before="0" w:after="0" w:line="408" w:lineRule="exact"/>
        <w:ind w:left="0" w:right="0" w:firstLine="576"/>
        <w:jc w:val="left"/>
      </w:pPr>
      <w:r>
        <w:rPr>
          <w:strike/>
        </w:rPr>
        <w:t xml:space="preserve">(3) To support increased access and training of public health professionals at public health programs at accredited public institutions of higher education in Washington. Beginning in the 2021-2023 biennium, five percent of the funds deposited into the account are to be used for this purpose;</w:t>
      </w:r>
    </w:p>
    <w:p>
      <w:pPr>
        <w:spacing w:before="0" w:after="0" w:line="408" w:lineRule="exact"/>
        <w:ind w:left="0" w:right="0" w:firstLine="576"/>
        <w:jc w:val="left"/>
      </w:pPr>
      <w:r>
        <w:rPr>
          <w:strike/>
        </w:rPr>
        <w:t xml:space="preserve">(4) To fund enforcement by the state liquor and cannabis board of the provisions of this chapter to prevent sales of vapor products to minors and related provisions for control of marketing and product safety, provided that no more than eight percent of the funds deposited into the account may be appropriated for these enforcement purposes.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2018 c 260 s 25 are each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director for the deposit of contributions, the remittance paid by school districts and educational service districts under RCW 28A.400.410, reserves, dividends, and refunds, for payment of premiums and claims for employee and retiree insurance benefit contracts and subsidy amounts provided under RCW 41.05.085, and transfers from the flexible spending administrative account as authorized in RCW 41.05.123. Moneys from the account shall be disbursed by the state treasurer by warrants on vouchers duly authorized by the director. Moneys from the account may be transferred to the flexible spending administrative account to provide reserves and start-up costs for the operation of the flexible spending administrative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director shall determine whether the state treasurer or the state investment board or both shall invest moneys in the public employees' and retirees' insurance account.</w:t>
      </w:r>
    </w:p>
    <w:p>
      <w:pPr>
        <w:spacing w:before="0" w:after="0" w:line="408" w:lineRule="exact"/>
        <w:ind w:left="0" w:right="0" w:firstLine="576"/>
        <w:jc w:val="left"/>
      </w:pPr>
      <w:r>
        <w:rPr/>
        <w:t xml:space="preserve">(3) The school employees' insurance account is hereby established in the custody of the state treasurer, to be used by the director for the deposit of contributions, reserves, dividends, and refunds, for payment of premiums and claims for school employee insurance benefit contracts, and for transfers from the school employees' benefits board flexible spending and dependent care administrative account as authorized in this subsection. Moneys from the account shall be disbursed by the state treasurer by warrants on vouchers duly authorized by the director. Moneys from the account may be transferred to the school employees' benefits board flexible spending and dependent care administrative account to provide reserves and start-up costs for the operation of the school employees' benefits board flexible spending arrangement and dependent care assistance program.</w:t>
      </w:r>
    </w:p>
    <w:p>
      <w:pPr>
        <w:spacing w:before="0" w:after="0" w:line="408" w:lineRule="exact"/>
        <w:ind w:left="0" w:right="0" w:firstLine="576"/>
        <w:jc w:val="left"/>
      </w:pPr>
      <w:r>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0" w:after="0" w:line="408" w:lineRule="exact"/>
        <w:ind w:left="0" w:right="0" w:firstLine="576"/>
        <w:jc w:val="left"/>
      </w:pPr>
      <w:r>
        <w:rPr>
          <w:u w:val="single"/>
        </w:rPr>
        <w:t xml:space="preserve">(5) Moneys may be transferred between the public employees' and retirees' insurance account and the school employees' insurance account for short-term cash management and cash balance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130</w:t>
      </w:r>
      <w:r>
        <w:rPr/>
        <w:t xml:space="preserve"> and 1983 c 59 s 9 are each amended to read as follows:</w:t>
      </w:r>
    </w:p>
    <w:p>
      <w:pPr>
        <w:spacing w:before="0" w:after="0" w:line="408" w:lineRule="exact"/>
        <w:ind w:left="0" w:right="0" w:firstLine="576"/>
        <w:jc w:val="left"/>
      </w:pPr>
      <w:r>
        <w:rPr/>
        <w:t xml:space="preserve">For each fund contained in the school district budget the estimated expenditures for the budgeted fiscal year must not be greater than the total of the estimated revenues for the budgeted fiscal year, the estimated fund balance at the beginning of the budgeted fiscal year less the estimated reserve fund balance at the end of the budgeted fiscal year, and the projected revenue from receivables collectible on future years as approved by the superintendent of public instruction for inclusion in the budget.</w:t>
      </w:r>
    </w:p>
    <w:p>
      <w:pPr>
        <w:spacing w:before="0" w:after="0" w:line="408" w:lineRule="exact"/>
        <w:ind w:left="0" w:right="0" w:firstLine="576"/>
        <w:jc w:val="left"/>
      </w:pPr>
      <w:r>
        <w:rPr/>
        <w:t xml:space="preserve">The proceeds of any interfund loan must not be used to balance the budget of the borrowing fund</w:t>
      </w:r>
      <w:r>
        <w:rPr>
          <w:u w:val="single"/>
        </w:rPr>
        <w:t xml:space="preserve">, except in fiscal year 2024 when such loans may be used to address budget destabilization in the aftermath of the COVID-19 pandemic. Interfund loans in fiscal year 2024 may be for a duration of two years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2022 c 253 s 2 are each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Moneys in the account as described in this subsection must first be appropriated for the administration of the requirements of this chapter, in an amount not to exceed five percent of the total receipt of funds from allowance auction proceeds under this chapter. Beginning July 1, </w:t>
      </w:r>
      <w:r>
        <w:t>((</w:t>
      </w:r>
      <w:r>
        <w:rPr>
          <w:strike/>
        </w:rPr>
        <w:t xml:space="preserve">2024</w:t>
      </w:r>
      <w:r>
        <w:t>))</w:t>
      </w:r>
      <w:r>
        <w:rPr/>
        <w:t xml:space="preserve"> </w:t>
      </w:r>
      <w:r>
        <w:rPr>
          <w:u w:val="single"/>
        </w:rPr>
        <w:t xml:space="preserve">2023</w:t>
      </w:r>
      <w:r>
        <w:rPr/>
        <w:t xml:space="preserve">,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w:t>
      </w:r>
      <w:r>
        <w:rPr>
          <w:u w:val="single"/>
        </w:rPr>
        <w:t xml:space="preserve">the opioid abatement settlement account,</w:t>
      </w:r>
      <w:r>
        <w:rPr/>
        <w:t xml:space="preserve">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w:t>
      </w:r>
      <w:r>
        <w:rPr>
          <w:u w:val="single"/>
        </w:rPr>
        <w:t xml:space="preserve">the state hazard mitigation revolving loan account,</w:t>
      </w:r>
      <w:r>
        <w:rPr/>
        <w:t xml:space="preserve">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w:t>
      </w:r>
      <w:r>
        <w:rPr>
          <w:u w:val="single"/>
        </w:rPr>
        <w:t xml:space="preserve">the opioid abatement settlement account,</w:t>
      </w:r>
      <w:r>
        <w:rPr/>
        <w:t xml:space="preserve">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w:t>
      </w:r>
      <w:r>
        <w:rPr>
          <w:u w:val="single"/>
        </w:rPr>
        <w:t xml:space="preserve">the state hazard mitigation revolving loan account,</w:t>
      </w:r>
      <w:r>
        <w:rPr/>
        <w:t xml:space="preserve">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14 of this act, this act is necessary for the immediate preservation of the public peace, health, or safety, or support of the state government and its existing public institutions, and takes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July 1, 2024.</w:t>
      </w:r>
    </w:p>
    <w:p/>
    <w:p>
      <w:pPr>
        <w:jc w:val="center"/>
      </w:pPr>
      <w:r>
        <w:rPr>
          <w:b/>
        </w:rPr>
        <w:t>--- END ---</w:t>
      </w:r>
    </w:p>
    <w:sectPr>
      <w:pgNumType w:start="1"/>
      <w:footerReference xmlns:r="http://schemas.openxmlformats.org/officeDocument/2006/relationships" r:id="Refbba36394364a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28451866524a3c" /><Relationship Type="http://schemas.openxmlformats.org/officeDocument/2006/relationships/footer" Target="/word/footer1.xml" Id="Refbba36394364a5e" /></Relationships>
</file>