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c551ec95131462b" /></Relationships>
</file>

<file path=word/document.xml><?xml version="1.0" encoding="utf-8"?>
<w:document xmlns:w="http://schemas.openxmlformats.org/wordprocessingml/2006/main">
  <w:body>
    <w:p>
      <w:r>
        <w:t>Z-0045.1</w:t>
      </w:r>
    </w:p>
    <w:p>
      <w:pPr>
        <w:jc w:val="center"/>
      </w:pPr>
      <w:r>
        <w:t>_______________________________________________</w:t>
      </w:r>
    </w:p>
    <w:p/>
    <w:p>
      <w:pPr>
        <w:jc w:val="center"/>
      </w:pPr>
      <w:r>
        <w:rPr>
          <w:b/>
        </w:rPr>
        <w:t>SENATE BILL 5306</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Senators Short, Van De Wege, Nobles, and Stanford; by request of Department of Fish and Wildlife</w:t>
      </w:r>
    </w:p>
    <w:p/>
    <w:p>
      <w:r>
        <w:rPr>
          <w:t xml:space="preserve">Read first time 01/12/23.  </w:t>
        </w:rPr>
      </w:r>
      <w:r>
        <w:rPr>
          <w:t xml:space="preserve">Referred to Committee on Agriculture, Water, Natural Resources &amp; Parks.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authorizing the department of fish and wildlife to establish disease interdiction and control check stations; and adding a new chapter to Title 77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Fish, wildlife, shellfish, and seaweed are property of the state and are a valuable resource. There are infectious diseases and infestations that can damage, threaten, and endanger fish, wildlife, shellfish, and seaweed resources. The department is authorized to take reasonable, preventative measures to protect Washington's fish, wildlife, shellfish, and seaweed species from infectious diseases and infestations.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is authorized to establish disease interdiction and control check stations.</w:t>
      </w:r>
    </w:p>
    <w:p>
      <w:pPr>
        <w:spacing w:before="0" w:after="0" w:line="408" w:lineRule="exact"/>
        <w:ind w:left="0" w:right="0" w:firstLine="576"/>
        <w:jc w:val="left"/>
      </w:pPr>
      <w:r>
        <w:rPr/>
        <w:t xml:space="preserve">(2) The check stations may be signed from roadsides, including state highways and interstates.</w:t>
      </w:r>
    </w:p>
    <w:p>
      <w:pPr>
        <w:spacing w:before="0" w:after="0" w:line="408" w:lineRule="exact"/>
        <w:ind w:left="0" w:right="0" w:firstLine="576"/>
        <w:jc w:val="left"/>
      </w:pPr>
      <w:r>
        <w:rPr/>
        <w:t xml:space="preserve">(3) Signage must indicate which diseases or infestations are being investigated, and what fish, wildlife, shellfish, and seaweed are being checked.</w:t>
      </w:r>
    </w:p>
    <w:p>
      <w:pPr>
        <w:spacing w:before="0" w:after="0" w:line="408" w:lineRule="exact"/>
        <w:ind w:left="0" w:right="0" w:firstLine="576"/>
        <w:jc w:val="left"/>
      </w:pPr>
      <w:r>
        <w:rPr/>
        <w:t xml:space="preserve">(4) The signage must be placed in coordination with the department of transportation.</w:t>
      </w:r>
    </w:p>
    <w:p>
      <w:pPr>
        <w:spacing w:before="0" w:after="0" w:line="408" w:lineRule="exact"/>
        <w:ind w:left="0" w:right="0" w:firstLine="576"/>
        <w:jc w:val="left"/>
      </w:pPr>
      <w:r>
        <w:rPr/>
        <w:t xml:space="preserve">(5) The check stations must be operated in a safe manner.</w:t>
      </w:r>
    </w:p>
    <w:p>
      <w:pPr>
        <w:spacing w:before="0" w:after="0" w:line="408" w:lineRule="exact"/>
        <w:ind w:left="0" w:right="0" w:firstLine="576"/>
        <w:jc w:val="left"/>
      </w:pPr>
      <w:r>
        <w:rPr/>
        <w:t xml:space="preserve">(6) A person who encounters a disease interdiction and control check station while transporting fish, wildlife, shellfish, or seaweed in their possession is requested to stop at the check station and allow the fish, wildlife, shellfish, or seaweed in their possession to be inspected and sampled for the diseases or infestations.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and 2 of this act constitute a new chapter in </w:t>
      </w:r>
      <w:r>
        <w:rPr/>
        <w:t xml:space="preserve">Title </w:t>
      </w:r>
      <w:r>
        <w:t xml:space="preserve">77</w:t>
      </w:r>
      <w:r>
        <w:rPr/>
        <w:t xml:space="preserve"> RCW</w:t>
      </w:r>
      <w:r>
        <w:rPr/>
        <w:t xml:space="preserve">.</w:t>
      </w:r>
    </w:p>
    <w:p/>
    <w:p>
      <w:pPr>
        <w:jc w:val="center"/>
      </w:pPr>
      <w:r>
        <w:rPr>
          <w:b/>
        </w:rPr>
        <w:t>--- END ---</w:t>
      </w:r>
    </w:p>
    <w:sectPr>
      <w:pgNumType w:start="1"/>
      <w:footerReference xmlns:r="http://schemas.openxmlformats.org/officeDocument/2006/relationships" r:id="R76933dcad6d14bc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5306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0514688756b45c0" /><Relationship Type="http://schemas.openxmlformats.org/officeDocument/2006/relationships/footer" Target="/word/footer1.xml" Id="R76933dcad6d14bc1" /></Relationships>
</file>