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6835c32cf141ef" /></Relationships>
</file>

<file path=word/document.xml><?xml version="1.0" encoding="utf-8"?>
<w:document xmlns:w="http://schemas.openxmlformats.org/wordprocessingml/2006/main">
  <w:body>
    <w:p>
      <w:r>
        <w:t>S-0380.1</w:t>
      </w:r>
    </w:p>
    <w:p>
      <w:pPr>
        <w:jc w:val="center"/>
      </w:pPr>
      <w:r>
        <w:t>_______________________________________________</w:t>
      </w:r>
    </w:p>
    <w:p/>
    <w:p>
      <w:pPr>
        <w:jc w:val="center"/>
      </w:pPr>
      <w:r>
        <w:rPr>
          <w:b/>
        </w:rPr>
        <w:t>SENATE BILL 5442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Cleveland, Salomon, Braun, Lovick, Schoesler, L. Wilson, Short, Dozier, Gildon, King, Lovelett, and J. Wilson</w:t>
      </w:r>
    </w:p>
    <w:p/>
    <w:p>
      <w:r>
        <w:rPr>
          <w:t xml:space="preserve">Read first time 01/18/23.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funding for charter public schools; amending RCW 28A.710.280;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population of Washington state has become increasingly diverse over the last several decades. The legislature also finds that as the demographics of our state change, historically and currently marginalized communities still do not have the same opportunities to meet parity as their nonmarginalized counterparts across nearly every measure including education, poverty, employment, health, and more. Inequities based on race, ethnicity, gender, and other characteristics continue to be deep, pervasive, and persistent, and they come at a great economic and social cost.</w:t>
      </w:r>
    </w:p>
    <w:p>
      <w:pPr>
        <w:spacing w:before="0" w:after="0" w:line="408" w:lineRule="exact"/>
        <w:ind w:left="0" w:right="0" w:firstLine="576"/>
        <w:jc w:val="left"/>
      </w:pPr>
      <w:r>
        <w:rPr/>
        <w:t xml:space="preserve">The legislature finds that state government must identify and coordinate effective strategies that focus on eliminating systemic barriers for historically and currently marginalized groups and that providing equitable enrichment funding for charter public school students is an important step toward promoting opportunities for communities that have not always been well-served by traditional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2021 c 111 s 12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 </w:t>
      </w:r>
      <w:r>
        <w:rPr>
          <w:u w:val="single"/>
        </w:rPr>
        <w:t xml:space="preserve">A charter school is eligible to apply for state grants on the same basis as a school district.</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w:t>
      </w:r>
      <w:r>
        <w:rPr>
          <w:u w:val="single"/>
        </w:rPr>
        <w:t xml:space="preserve">(i)</w:t>
      </w:r>
      <w:r>
        <w:rPr/>
        <w:t xml:space="preserve">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w:t>
      </w:r>
      <w:r>
        <w:t>((</w:t>
      </w:r>
      <w:r>
        <w:rPr>
          <w:strike/>
        </w:rPr>
        <w:t xml:space="preserve">and</w:t>
      </w:r>
      <w:r>
        <w:t>))</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r>
        <w:rPr>
          <w:u w:val="single"/>
        </w:rPr>
        <w:t xml:space="preserve">; and</w:t>
      </w:r>
    </w:p>
    <w:p>
      <w:pPr>
        <w:spacing w:before="0" w:after="0" w:line="408" w:lineRule="exact"/>
        <w:ind w:left="0" w:right="0" w:firstLine="576"/>
        <w:jc w:val="left"/>
      </w:pPr>
      <w:r>
        <w:rPr>
          <w:u w:val="single"/>
        </w:rPr>
        <w:t xml:space="preserve">(vi) Enrichment of the state's statutory program of basic education as authorized under RCW 28A.150.276. The superintendent of public instruction must distribute to each charter school a per-pupil enrichment grant in the amount of the state local effort assistance threshold as defined in RCW 28A.500.015</w:t>
      </w:r>
      <w:r>
        <w:rPr/>
        <w:t xml:space="preserve">.</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
      <w:pPr>
        <w:jc w:val="center"/>
      </w:pPr>
      <w:r>
        <w:rPr>
          <w:b/>
        </w:rPr>
        <w:t>--- END ---</w:t>
      </w:r>
    </w:p>
    <w:sectPr>
      <w:pgNumType w:start="1"/>
      <w:footerReference xmlns:r="http://schemas.openxmlformats.org/officeDocument/2006/relationships" r:id="R8316c51ef5c446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15a65dd9874e40" /><Relationship Type="http://schemas.openxmlformats.org/officeDocument/2006/relationships/footer" Target="/word/footer1.xml" Id="R8316c51ef5c44631" /></Relationships>
</file>