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4f6d73d7424a5b" /></Relationships>
</file>

<file path=word/document.xml><?xml version="1.0" encoding="utf-8"?>
<w:document xmlns:w="http://schemas.openxmlformats.org/wordprocessingml/2006/main">
  <w:body>
    <w:p>
      <w:r>
        <w:t>S-0698.1</w:t>
      </w:r>
    </w:p>
    <w:p>
      <w:pPr>
        <w:jc w:val="center"/>
      </w:pPr>
      <w:r>
        <w:t>_______________________________________________</w:t>
      </w:r>
    </w:p>
    <w:p/>
    <w:p>
      <w:pPr>
        <w:jc w:val="center"/>
      </w:pPr>
      <w:r>
        <w:rPr>
          <w:b/>
        </w:rPr>
        <w:t>SENATE BILL 5446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Nguyen, Frame, Keiser, Kuderer, Liias, Lovelett, Saldaña, Trudeau, and Valdez</w:t>
      </w:r>
    </w:p>
    <w:p/>
    <w:p>
      <w:r>
        <w:rPr>
          <w:t xml:space="preserve">Read first time 01/18/23.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restoration of local government authority to regulate firearms by adopting ordinances or regulations relating to firearms that are in addition to or more restrictive than the requirements of state law; reenacting and amending RCW 9.41.300; adding a new section to chapter 9.41 RCW; creating a new section; and repealing RCW 9.41.290.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gun violence is a public health crisis in Washington state. For over 30 years, local towns, cities, and counties have been blocked from taking action on their own to prevent gun violence because of the statewide preemption of local regulations relating to firearms. The legislature intends to provide local jurisdictions the ability to build upon statewide standards and adopt responsible approaches to firearm regulations to help address the epidemic of firearm violence in their communities by restoring inherent local authority to adopt firearm regulations that are in addition to or more restrictive than the requirements of state law under the police power to protect public health, safety, and welfare.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This chapter does not affect, modify, or limit the power of a city, municipality, or county in this state to adopt an ordinance or regulation relating to firearms that is in addition to or more restrictive than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w:t>
      </w:r>
      <w:r>
        <w:t>((</w:t>
      </w:r>
      <w:r>
        <w:rPr>
          <w:strike/>
        </w:rPr>
        <w:t xml:space="preserve">Cities, towns, counties, and other municipalities may enact laws and ordinances:</w:t>
      </w:r>
    </w:p>
    <w:p>
      <w:pPr>
        <w:spacing w:before="0" w:after="0" w:line="408" w:lineRule="exact"/>
        <w:ind w:left="0" w:right="0" w:firstLine="576"/>
        <w:jc w:val="left"/>
      </w:pPr>
      <w:r>
        <w:rPr>
          <w:strike/>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strike/>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strike/>
        </w:rPr>
        <w:t xml:space="preserve">(i) Any pistol in the possession of a person licensed under RCW 9.41.070 or exempt from the licensing requirement by RCW 9.41.060; or</w:t>
      </w:r>
    </w:p>
    <w:p>
      <w:pPr>
        <w:spacing w:before="0" w:after="0" w:line="408" w:lineRule="exact"/>
        <w:ind w:left="0" w:right="0" w:firstLine="576"/>
        <w:jc w:val="left"/>
      </w:pPr>
      <w:r>
        <w:rPr>
          <w:strike/>
        </w:rPr>
        <w:t xml:space="preserve">(ii) Any showing, demonstration, or lecture involving the exhibition of firearms.</w:t>
      </w:r>
    </w:p>
    <w:p>
      <w:pPr>
        <w:spacing w:before="0" w:after="0" w:line="408" w:lineRule="exact"/>
        <w:ind w:left="0" w:right="0" w:firstLine="576"/>
        <w:jc w:val="left"/>
      </w:pPr>
      <w:r>
        <w:rPr>
          <w:strike/>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strike/>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strike/>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strike/>
        </w:rPr>
        <w:t xml:space="preserve">(6)</w:t>
      </w:r>
      <w:r>
        <w:t>))</w:t>
      </w:r>
      <w:r>
        <w:rPr/>
        <w:t xml:space="preserve">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(14)</w:t>
      </w:r>
      <w:r>
        <w:t>))</w:t>
      </w:r>
      <w:r>
        <w:rPr/>
        <w:t xml:space="preserve"> </w:t>
      </w:r>
      <w:r>
        <w:rPr>
          <w:u w:val="single"/>
        </w:rPr>
        <w:t xml:space="preserve">(11)</w:t>
      </w:r>
      <w:r>
        <w:rPr/>
        <w:t xml:space="preserve">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290</w:t>
      </w:r>
      <w:r>
        <w:rPr/>
        <w:t xml:space="preserve"> (State preemption) and 1994 sp.s. c 7 s 428, 1985 c 428 s 1, &amp; 1983 c 232 s 12 are each repealed.</w:t>
      </w:r>
    </w:p>
    <w:p/>
    <w:p>
      <w:pPr>
        <w:jc w:val="center"/>
      </w:pPr>
      <w:r>
        <w:rPr>
          <w:b/>
        </w:rPr>
        <w:t>--- END ---</w:t>
      </w:r>
    </w:p>
    <w:sectPr>
      <w:pgNumType w:start="1"/>
      <w:footerReference xmlns:r="http://schemas.openxmlformats.org/officeDocument/2006/relationships" r:id="R23e36c75351e46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b19ba0ed574afe" /><Relationship Type="http://schemas.openxmlformats.org/officeDocument/2006/relationships/footer" Target="/word/footer1.xml" Id="R23e36c75351e46d1" /></Relationships>
</file>