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707cef5d214f0f" /></Relationships>
</file>

<file path=word/document.xml><?xml version="1.0" encoding="utf-8"?>
<w:document xmlns:w="http://schemas.openxmlformats.org/wordprocessingml/2006/main">
  <w:body>
    <w:p>
      <w:r>
        <w:t>S-1873.1</w:t>
      </w:r>
    </w:p>
    <w:p>
      <w:pPr>
        <w:jc w:val="center"/>
      </w:pPr>
      <w:r>
        <w:t>_______________________________________________</w:t>
      </w:r>
    </w:p>
    <w:p/>
    <w:p>
      <w:pPr>
        <w:jc w:val="center"/>
      </w:pPr>
      <w:r>
        <w:rPr>
          <w:b/>
        </w:rPr>
        <w:t>SECOND SUBSTITUTE SENATE BILL 5518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Boehnke, Stanford, MacEwen, Muzzall, Fortunato, Frame, Kuderer, Valdez, Warnick, and Wellman)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cybersecurity; amending RCW 43.21F.045; reenacting and amending RCW 43.105.020 and 38.52.040; adding a new section to chapter 43.105 RCW; and adding a new section to chapter 42.56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2021 c 176 s 5223 and 2021 c 40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"Cloud computing" has the same meaning as provided by the special publication 800-145 issued by the national institute of standards and technology of the United States department of commerce as of September 2011 or its successor publications.</w:t>
      </w:r>
    </w:p>
    <w:p>
      <w:pPr>
        <w:spacing w:before="0" w:after="0" w:line="408" w:lineRule="exact"/>
        <w:ind w:left="0" w:right="0" w:firstLine="576"/>
        <w:jc w:val="left"/>
      </w:pPr>
      <w:r>
        <w:rPr/>
        <w:t xml:space="preserve">(4)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(5) "Director" means the state chief information officer, who is the director of the consolidated technology services agency.</w:t>
      </w:r>
    </w:p>
    <w:p>
      <w:pPr>
        <w:spacing w:before="0" w:after="0" w:line="408" w:lineRule="exact"/>
        <w:ind w:left="0" w:right="0" w:firstLine="576"/>
        <w:jc w:val="left"/>
      </w:pPr>
      <w:r>
        <w:rPr/>
        <w:t xml:space="preserve">(6)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(7)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(8) "Information" includes, but is not limited to, data, text, voice, and video.</w:t>
      </w:r>
    </w:p>
    <w:p>
      <w:pPr>
        <w:spacing w:before="0" w:after="0" w:line="408" w:lineRule="exact"/>
        <w:ind w:left="0" w:right="0" w:firstLine="576"/>
        <w:jc w:val="left"/>
      </w:pPr>
      <w:r>
        <w:rPr/>
        <w:t xml:space="preserve">(9)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(10)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(11)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(12) "K</w:t>
      </w:r>
      <w:r>
        <w:rPr/>
        <w:noBreakHyphen/>
      </w:r>
      <w:r>
        <w:rPr/>
        <w:t xml:space="preserve">20 network" means the network established in RCW 43.41.391.</w:t>
      </w:r>
    </w:p>
    <w:p>
      <w:pPr>
        <w:spacing w:before="0" w:after="0" w:line="408" w:lineRule="exact"/>
        <w:ind w:left="0" w:right="0" w:firstLine="576"/>
        <w:jc w:val="left"/>
      </w:pPr>
      <w:r>
        <w:rPr/>
        <w:t xml:space="preserve">(13)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(14) "Office" means the office of the state chief information officer within the consolidated technology services agency.</w:t>
      </w:r>
    </w:p>
    <w:p>
      <w:pPr>
        <w:spacing w:before="0" w:after="0" w:line="408" w:lineRule="exact"/>
        <w:ind w:left="0" w:right="0" w:firstLine="576"/>
        <w:jc w:val="left"/>
      </w:pPr>
      <w:r>
        <w:rPr/>
        <w:t xml:space="preserve">(15)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(16) "Proprietary software" means that software offered for sale or license.</w:t>
      </w:r>
    </w:p>
    <w:p>
      <w:pPr>
        <w:spacing w:before="0" w:after="0" w:line="408" w:lineRule="exact"/>
        <w:ind w:left="0" w:right="0" w:firstLine="576"/>
        <w:jc w:val="left"/>
      </w:pPr>
      <w:r>
        <w:rPr/>
        <w:t xml:space="preserve">(17)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(18) "Public benefit nonprofit corporation" means a public benefit nonprofit corporation as defined in RCW 24.03A.245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(19)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(20) "Public safety" refers to any entity or services that ensure the welfare and protection of the public.</w:t>
      </w:r>
    </w:p>
    <w:p>
      <w:pPr>
        <w:spacing w:before="0" w:after="0" w:line="408" w:lineRule="exact"/>
        <w:ind w:left="0" w:right="0" w:firstLine="576"/>
        <w:jc w:val="left"/>
      </w:pPr>
      <w:r>
        <w:rPr/>
        <w:t xml:space="preserve">(21) </w:t>
      </w:r>
      <w:r>
        <w:rPr>
          <w:u w:val="single"/>
        </w:rPr>
        <w:t xml:space="preserve">"Ransomware" means a type of malware that attempts to deny a user or organization access to data or systems, usually through encryption, until a sum of money or other currency is paid or the user or organization is forced to take a specific action.</w:t>
      </w:r>
    </w:p>
    <w:p>
      <w:pPr>
        <w:spacing w:before="0" w:after="0" w:line="408" w:lineRule="exact"/>
        <w:ind w:left="0" w:right="0" w:firstLine="576"/>
        <w:jc w:val="left"/>
      </w:pPr>
      <w:r>
        <w:rPr>
          <w:u w:val="single"/>
        </w:rPr>
        <w:t xml:space="preserve">(22)</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2021 c 233 s 1 and 2021 c 122 s 4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21 members who shall be appointed by the adjutant general. The membership of the council shall include, but not be limited to, representatives of city and county governments, two representatives of federally recognized tribes, sheriffs and police chiefs, county coroners and medical examiners,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private industry, and the office of the superintendent of public instruction.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w:t>
      </w:r>
      <w:r>
        <w:rPr>
          <w:u w:val="single"/>
        </w:rPr>
        <w:t xml:space="preserve">mitigation of cybersecurity risks to critical infrastructure,</w:t>
      </w:r>
      <w:r>
        <w:rPr/>
        <w:t xml:space="preserve">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w:t>
      </w:r>
      <w:r>
        <w:rPr>
          <w:u w:val="single"/>
        </w:rPr>
        <w:t xml:space="preserve">The cybersecurity advisory committee is created and is a subcommittee of the emergency management council. The purpose of the cybersecurity advisory committee is to provide advice and recommendations that strengthen cybersecurity in both industry and public sectors across all critical infrastructure sectors.</w:t>
      </w:r>
    </w:p>
    <w:p>
      <w:pPr>
        <w:spacing w:before="0" w:after="0" w:line="408" w:lineRule="exact"/>
        <w:ind w:left="0" w:right="0" w:firstLine="576"/>
        <w:jc w:val="left"/>
      </w:pPr>
      <w:r>
        <w:rPr>
          <w:u w:val="single"/>
        </w:rPr>
        <w:t xml:space="preserve">(b) The cybersecurity advisory committee shall bring together organizations with expertise and responsibility for cybersecurity and incident response among local government, tribes, state agencies, institutions of higher education, the technology sector, and first responders with the goal of providing recommendations on building and sustaining the state's capability to identify and mitigate cybersecurity risk and to respond to and recover from cybersecurity-related incidents, including but not limited to ransomware incidents. With respect to critical infrastructure, the cybersecurity advisory committee shall work with relevant federal agencies, state agencies, institutions of higher education as defined in chapter 28B.92 RCW, industry experts, and technical specialists to:</w:t>
      </w:r>
    </w:p>
    <w:p>
      <w:pPr>
        <w:spacing w:before="0" w:after="0" w:line="408" w:lineRule="exact"/>
        <w:ind w:left="0" w:right="0" w:firstLine="576"/>
        <w:jc w:val="left"/>
      </w:pPr>
      <w:r>
        <w:rPr>
          <w:u w:val="single"/>
        </w:rPr>
        <w:t xml:space="preserve">(i) Identify which local, tribal, and industry infrastructure sectors are at the greatest risk of cyberattacks and need the most enhanced cybersecurity measures;</w:t>
      </w:r>
    </w:p>
    <w:p>
      <w:pPr>
        <w:spacing w:before="0" w:after="0" w:line="408" w:lineRule="exact"/>
        <w:ind w:left="0" w:right="0" w:firstLine="576"/>
        <w:jc w:val="left"/>
      </w:pPr>
      <w:r>
        <w:rPr>
          <w:u w:val="single"/>
        </w:rPr>
        <w:t xml:space="preserve">(ii) Use federal guidance to analyze categories of critical infrastructure in the state that could reasonably result in catastrophic consequences if unauthorized cyber access to the infrastructure occurred;</w:t>
      </w:r>
    </w:p>
    <w:p>
      <w:pPr>
        <w:spacing w:before="0" w:after="0" w:line="408" w:lineRule="exact"/>
        <w:ind w:left="0" w:right="0" w:firstLine="576"/>
        <w:jc w:val="left"/>
      </w:pPr>
      <w:r>
        <w:rPr>
          <w:u w:val="single"/>
        </w:rPr>
        <w:t xml:space="preserve">(iii) Recommend cyber incident response exercises that relate to risk and risk mitigation in the water, transportation, communications, health care, elections, agriculture, energy, and higher education sectors, or other sectors as the cybersecurity advisory committee deems appropriate, in consultation with appropriate state agencies including, but not limited to, the energy resilience and emergency management office at the department of commerce and the secretary of state's office; and</w:t>
      </w:r>
    </w:p>
    <w:p>
      <w:pPr>
        <w:spacing w:before="0" w:after="0" w:line="408" w:lineRule="exact"/>
        <w:ind w:left="0" w:right="0" w:firstLine="576"/>
        <w:jc w:val="left"/>
      </w:pPr>
      <w:r>
        <w:rPr>
          <w:u w:val="single"/>
        </w:rPr>
        <w:t xml:space="preserve">(iv) Examine the inconsistencies between state and federal law regarding cybersecurity.</w:t>
      </w:r>
    </w:p>
    <w:p>
      <w:pPr>
        <w:spacing w:before="0" w:after="0" w:line="408" w:lineRule="exact"/>
        <w:ind w:left="0" w:right="0" w:firstLine="576"/>
        <w:jc w:val="left"/>
      </w:pPr>
      <w:r>
        <w:rPr>
          <w:u w:val="single"/>
        </w:rPr>
        <w:t xml:space="preserve">(c) In fulfilling its duties under this section, the military department and the cybersecurity advisory committee shall collaborate with the consolidated technology services agency and the technology services board security subcommittee created in section 3 of this act.</w:t>
      </w:r>
    </w:p>
    <w:p>
      <w:pPr>
        <w:spacing w:before="0" w:after="0" w:line="408" w:lineRule="exact"/>
        <w:ind w:left="0" w:right="0" w:firstLine="576"/>
        <w:jc w:val="left"/>
      </w:pPr>
      <w:r>
        <w:rPr>
          <w:u w:val="single"/>
        </w:rPr>
        <w:t xml:space="preserve">(d) In order to protect sensitive security topics and information, the cybersecurity advisory committee must follow 6 C.F.R. Part 29, as it existed on the effective date of this section, procedures for handling critical infrastructure information. The reports produced, and information compiled, pursuant to this subsection are confidential and may not be disclosed under chapter 42.56 RCW.</w:t>
      </w:r>
    </w:p>
    <w:p>
      <w:pPr>
        <w:spacing w:before="0" w:after="0" w:line="408" w:lineRule="exact"/>
        <w:ind w:left="0" w:right="0" w:firstLine="576"/>
        <w:jc w:val="left"/>
      </w:pPr>
      <w:r>
        <w:rPr>
          <w:u w:val="single"/>
        </w:rPr>
        <w:t xml:space="preserve">(e) The cybersecurity advisory committee must contribute, as appropriate, to the emergency management council annual report and must meet quarterly. The cybersecurity advisory committee shall hold a joint meeting once a year with the technology services board security subcommittee created in section 3 of this act.</w:t>
      </w:r>
    </w:p>
    <w:p>
      <w:pPr>
        <w:spacing w:before="0" w:after="0" w:line="408" w:lineRule="exact"/>
        <w:ind w:left="0" w:right="0" w:firstLine="576"/>
        <w:jc w:val="left"/>
      </w:pPr>
      <w:r>
        <w:rPr>
          <w:u w:val="single"/>
        </w:rPr>
        <w:t xml:space="preserve">(f) For the purpose of this subsection, "ransomware" has the same meaning as in RCW 43.105.020.</w:t>
      </w:r>
    </w:p>
    <w:p>
      <w:pPr>
        <w:spacing w:before="0" w:after="0" w:line="408" w:lineRule="exact"/>
        <w:ind w:left="0" w:right="0" w:firstLine="576"/>
        <w:jc w:val="left"/>
      </w:pPr>
      <w:r>
        <w:rPr>
          <w:u w:val="single"/>
        </w:rPr>
        <w:t xml:space="preserve">(5)(a)</w:t>
      </w:r>
      <w:r>
        <w:rPr/>
        <w:t xml:space="preserve">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degree-granting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technology services board security subcommittee is created within the board. The membership of the technology services board security subcommittee is comprised of a subset of members appointed to the board, as determined by the chair of the technology services board. The chair may make additional appointments to the technology services board security subcommittee to ensure that relevant technology sectors are represented.</w:t>
      </w:r>
    </w:p>
    <w:p>
      <w:pPr>
        <w:spacing w:before="0" w:after="0" w:line="408" w:lineRule="exact"/>
        <w:ind w:left="0" w:right="0" w:firstLine="576"/>
        <w:jc w:val="left"/>
      </w:pPr>
      <w:r>
        <w:rPr/>
        <w:t xml:space="preserve">(2) The technology services board security subcommittee has the following powers and duties related to cybersecurity:</w:t>
      </w:r>
    </w:p>
    <w:p>
      <w:pPr>
        <w:spacing w:before="0" w:after="0" w:line="408" w:lineRule="exact"/>
        <w:ind w:left="0" w:right="0" w:firstLine="576"/>
        <w:jc w:val="left"/>
      </w:pPr>
      <w:r>
        <w:rPr/>
        <w:t xml:space="preserve">(a) Review emergent cyberattacks and threats to critical infrastructure sectors in order to identify existing gaps in state agency cybersecurity policies;</w:t>
      </w:r>
    </w:p>
    <w:p>
      <w:pPr>
        <w:spacing w:before="0" w:after="0" w:line="408" w:lineRule="exact"/>
        <w:ind w:left="0" w:right="0" w:firstLine="576"/>
        <w:jc w:val="left"/>
      </w:pPr>
      <w:r>
        <w:rPr/>
        <w:t xml:space="preserve">(b) Assess emerging risks to state agency information technology;</w:t>
      </w:r>
    </w:p>
    <w:p>
      <w:pPr>
        <w:spacing w:before="0" w:after="0" w:line="408" w:lineRule="exact"/>
        <w:ind w:left="0" w:right="0" w:firstLine="576"/>
        <w:jc w:val="left"/>
      </w:pPr>
      <w:r>
        <w:rPr/>
        <w:t xml:space="preserve">(c) Recommend a reporting and information sharing system to notify state agencies of new risks, risk treatment opportunities, and projected shortfalls in response and recovery;</w:t>
      </w:r>
    </w:p>
    <w:p>
      <w:pPr>
        <w:spacing w:before="0" w:after="0" w:line="408" w:lineRule="exact"/>
        <w:ind w:left="0" w:right="0" w:firstLine="576"/>
        <w:jc w:val="left"/>
      </w:pPr>
      <w:r>
        <w:rPr/>
        <w:t xml:space="preserve">(d) Recommend tabletop cybersecurity exercises, including data breach simulation exercises;</w:t>
      </w:r>
    </w:p>
    <w:p>
      <w:pPr>
        <w:spacing w:before="0" w:after="0" w:line="408" w:lineRule="exact"/>
        <w:ind w:left="0" w:right="0" w:firstLine="576"/>
        <w:jc w:val="left"/>
      </w:pPr>
      <w:r>
        <w:rPr/>
        <w:t xml:space="preserve">(e) Assist the office of cybersecurity created in RCW 43.105.450 in developing cybersecurity best practice recommendations for state agencies;</w:t>
      </w:r>
    </w:p>
    <w:p>
      <w:pPr>
        <w:spacing w:before="0" w:after="0" w:line="408" w:lineRule="exact"/>
        <w:ind w:left="0" w:right="0" w:firstLine="576"/>
        <w:jc w:val="left"/>
      </w:pPr>
      <w:r>
        <w:rPr/>
        <w:t xml:space="preserve">(f) Review the proposed policies and standards developed by the office of cybersecurity and recommend their approval to the full board;</w:t>
      </w:r>
    </w:p>
    <w:p>
      <w:pPr>
        <w:spacing w:before="0" w:after="0" w:line="408" w:lineRule="exact"/>
        <w:ind w:left="0" w:right="0" w:firstLine="576"/>
        <w:jc w:val="left"/>
      </w:pPr>
      <w:r>
        <w:rPr/>
        <w:t xml:space="preserve">(g) Review information relating to cybersecurity incidents and ransomware incidents to determine commonalities and develop best practice recommendations for public agencies; and</w:t>
      </w:r>
    </w:p>
    <w:p>
      <w:pPr>
        <w:spacing w:before="0" w:after="0" w:line="408" w:lineRule="exact"/>
        <w:ind w:left="0" w:right="0" w:firstLine="576"/>
        <w:jc w:val="left"/>
      </w:pPr>
      <w:r>
        <w:rPr/>
        <w:t xml:space="preserve">(h) Assist the agency and the military department in creating the state of cybersecurity report required in subsection (6) of this section.</w:t>
      </w:r>
    </w:p>
    <w:p>
      <w:pPr>
        <w:spacing w:before="0" w:after="0" w:line="408" w:lineRule="exact"/>
        <w:ind w:left="0" w:right="0" w:firstLine="576"/>
        <w:jc w:val="left"/>
      </w:pPr>
      <w:r>
        <w:rPr/>
        <w:t xml:space="preserve">(3) In providing staff support to the board, the agency shall work with the national institute of standards and technology and other federal agencies, private sector businesses, and private cybersecurity experts and bring their perspectives and guidance to the board for consideration in fulfilling its duties to ensure a holistic approach to cybersecurity in state government.</w:t>
      </w:r>
    </w:p>
    <w:p>
      <w:pPr>
        <w:spacing w:before="0" w:after="0" w:line="408" w:lineRule="exact"/>
        <w:ind w:left="0" w:right="0" w:firstLine="576"/>
        <w:jc w:val="left"/>
      </w:pPr>
      <w:r>
        <w:rPr/>
        <w:t xml:space="preserve">(4) To discuss sensitive security topics and information, the technology services board security subcommittee may hold a portion of its agenda in executive session closed to the public.</w:t>
      </w:r>
    </w:p>
    <w:p>
      <w:pPr>
        <w:spacing w:before="0" w:after="0" w:line="408" w:lineRule="exact"/>
        <w:ind w:left="0" w:right="0" w:firstLine="576"/>
        <w:jc w:val="left"/>
      </w:pPr>
      <w:r>
        <w:rPr/>
        <w:t xml:space="preserve">(5) The technology services board security subcommittee must meet quarterly. The technology services board security subcommittee must hold a joint meeting once a year with the cybersecurity advisory committee created in RCW 38.52.040(4).</w:t>
      </w:r>
    </w:p>
    <w:p>
      <w:pPr>
        <w:spacing w:before="0" w:after="0" w:line="408" w:lineRule="exact"/>
        <w:ind w:left="0" w:right="0" w:firstLine="576"/>
        <w:jc w:val="left"/>
      </w:pPr>
      <w:r>
        <w:rPr/>
        <w:t xml:space="preserve">(6) By December 1, 2023, and each December 1st thereafter, the military department and the agency are jointly responsible for providing a state of cybersecurity report to the governor and the appropriate committees of the legislature, consistent with RCW 43.01.036, specifying recommendations considered necessary to address cybersecurity in the state. The technology services board security subcommittee shall coordinate the implementation of any recommendations contained in the state of cybersecurity report. The technology services board security subcommittee may identify as confidential, and not subject to public disclosure, those portions of the report as the technology services board security subcommittee deems necessary to protect the security of public and private cyber systems.</w:t>
      </w:r>
    </w:p>
    <w:p>
      <w:pPr>
        <w:spacing w:before="0" w:after="0" w:line="408" w:lineRule="exact"/>
        <w:ind w:left="0" w:right="0" w:firstLine="576"/>
        <w:jc w:val="left"/>
      </w:pPr>
      <w:r>
        <w:rPr/>
        <w:t xml:space="preserve">(7) In fulfilling its duties under this section, the agency and the technology services board security subcommittee shall collaborate with the military department and the cybersecurity advisory committee created in RCW 38.52.040(4).</w:t>
      </w:r>
    </w:p>
    <w:p>
      <w:pPr>
        <w:spacing w:before="0" w:after="0" w:line="408" w:lineRule="exact"/>
        <w:ind w:left="0" w:right="0" w:firstLine="576"/>
        <w:jc w:val="left"/>
      </w:pPr>
      <w:r>
        <w:rPr/>
        <w:t xml:space="preserve">(8) The reports produced and information compiled pursuant to this section are confidential and may not be disclosed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reports and information, or any portions thereof, that are designated confidential by the cybersecurity advisory committee under RCW 38.52.040(4) and the technology services board security subcommittee under section 3 of this act are confidential and may not be disclosed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2015 c 225 s 73 are each amended to read as follows:</w:t>
      </w:r>
    </w:p>
    <w:p>
      <w:pPr>
        <w:spacing w:before="0" w:after="0" w:line="408" w:lineRule="exact"/>
        <w:ind w:left="0" w:right="0" w:firstLine="576"/>
        <w:jc w:val="left"/>
      </w:pPr>
      <w:r>
        <w:rPr/>
        <w:t xml:space="preserve">(1) The department shall supervise and administer energy-related activities as specified in RCW 43.330.904 and shall advise the governor and the legislature with respect to energy matters affecting the state.</w:t>
      </w:r>
    </w:p>
    <w:p>
      <w:pPr>
        <w:spacing w:before="0" w:after="0" w:line="408" w:lineRule="exact"/>
        <w:ind w:left="0" w:right="0" w:firstLine="576"/>
        <w:jc w:val="left"/>
      </w:pPr>
      <w:r>
        <w:rPr/>
        <w:t xml:space="preserve">(2) In addition to other powers and duties granted to the department, the department shall have the following powers and duties:</w:t>
      </w:r>
    </w:p>
    <w:p>
      <w:pPr>
        <w:spacing w:before="0" w:after="0" w:line="408" w:lineRule="exact"/>
        <w:ind w:left="0" w:right="0" w:firstLine="576"/>
        <w:jc w:val="left"/>
      </w:pPr>
      <w:r>
        <w:rPr/>
        <w:t xml:space="preserve">(a) Prepare and update contingency plans </w:t>
      </w:r>
      <w:r>
        <w:rPr>
          <w:u w:val="single"/>
        </w:rPr>
        <w:t xml:space="preserve">for securing energy infrastructure against all physical and cybersecurity threats, and</w:t>
      </w:r>
      <w:r>
        <w:rPr/>
        <w:t xml:space="preserve">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spacing w:before="0" w:after="0" w:line="408" w:lineRule="exact"/>
        <w:ind w:left="0" w:right="0" w:firstLine="576"/>
        <w:jc w:val="left"/>
      </w:pPr>
      <w:r>
        <w:rPr/>
        <w:t xml:space="preserve">(b) Establish and maintain a central repository in state government for collection of existing data on energy resources, including:</w:t>
      </w:r>
    </w:p>
    <w:p>
      <w:pPr>
        <w:spacing w:before="0" w:after="0" w:line="408" w:lineRule="exact"/>
        <w:ind w:left="0" w:right="0" w:firstLine="576"/>
        <w:jc w:val="left"/>
      </w:pPr>
      <w:r>
        <w:rPr/>
        <w:t xml:space="preserve">(i) Supply, demand, costs, utilization technology, projections, and forecasts;</w:t>
      </w:r>
    </w:p>
    <w:p>
      <w:pPr>
        <w:spacing w:before="0" w:after="0" w:line="408" w:lineRule="exact"/>
        <w:ind w:left="0" w:right="0" w:firstLine="576"/>
        <w:jc w:val="left"/>
      </w:pPr>
      <w:r>
        <w:rPr/>
        <w:t xml:space="preserve">(ii) Comparative costs of alternative energy sources, uses, and applications; and</w:t>
      </w:r>
    </w:p>
    <w:p>
      <w:pPr>
        <w:spacing w:before="0" w:after="0" w:line="408" w:lineRule="exact"/>
        <w:ind w:left="0" w:right="0" w:firstLine="576"/>
        <w:jc w:val="left"/>
      </w:pPr>
      <w:r>
        <w:rPr/>
        <w:t xml:space="preserve">(iii) Inventory data on energy research projects in the state conducted under public and/or private auspices, and the results thereof.</w:t>
      </w:r>
    </w:p>
    <w:p>
      <w:pPr>
        <w:spacing w:before="0" w:after="0" w:line="408" w:lineRule="exact"/>
        <w:ind w:left="0" w:right="0" w:firstLine="576"/>
        <w:jc w:val="left"/>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spacing w:before="0" w:after="0" w:line="408" w:lineRule="exact"/>
        <w:ind w:left="0" w:right="0" w:firstLine="576"/>
        <w:jc w:val="left"/>
      </w:pPr>
      <w:r>
        <w:rPr/>
        <w:t xml:space="preserve">(d) Develop energy policy recommendations for consideration by the governor and the legislature.</w:t>
      </w:r>
    </w:p>
    <w:p>
      <w:pPr>
        <w:spacing w:before="0" w:after="0" w:line="408" w:lineRule="exact"/>
        <w:ind w:left="0" w:right="0" w:firstLine="576"/>
        <w:jc w:val="left"/>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spacing w:before="0" w:after="0" w:line="408" w:lineRule="exact"/>
        <w:ind w:left="0" w:right="0" w:firstLine="576"/>
        <w:jc w:val="left"/>
      </w:pPr>
      <w:r>
        <w:rPr/>
        <w:t xml:space="preserve">(f) Cooperate with state agencies, other governmental units, and private interests in the prioritization and implementation of the state energy strategy elements and on other energy matters.</w:t>
      </w:r>
    </w:p>
    <w:p>
      <w:pPr>
        <w:spacing w:before="0" w:after="0" w:line="408" w:lineRule="exact"/>
        <w:ind w:left="0" w:right="0" w:firstLine="576"/>
        <w:jc w:val="left"/>
      </w:pPr>
      <w:r>
        <w:rPr/>
        <w:t xml:space="preserve">(g) Serve as the official state agency responsible for coordinating implementation of the state energy strategy.</w:t>
      </w:r>
    </w:p>
    <w:p>
      <w:pPr>
        <w:spacing w:before="0" w:after="0" w:line="408" w:lineRule="exact"/>
        <w:ind w:left="0" w:right="0" w:firstLine="576"/>
        <w:jc w:val="left"/>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spacing w:before="0" w:after="0" w:line="408" w:lineRule="exact"/>
        <w:ind w:left="0" w:right="0" w:firstLine="576"/>
        <w:jc w:val="left"/>
      </w:pPr>
      <w:r>
        <w:rPr/>
        <w:t xml:space="preserve">(i) Provide support for increasing cost-effective energy conservation, including assisting in the removal of impediments to timely implementation.</w:t>
      </w:r>
    </w:p>
    <w:p>
      <w:pPr>
        <w:spacing w:before="0" w:after="0" w:line="408" w:lineRule="exact"/>
        <w:ind w:left="0" w:right="0" w:firstLine="576"/>
        <w:jc w:val="left"/>
      </w:pPr>
      <w:r>
        <w:rPr/>
        <w:t xml:space="preserve">(j) Provide support for the development of cost-effective energy resources including assisting in the removal of impediments to timely construction.</w:t>
      </w:r>
    </w:p>
    <w:p>
      <w:pPr>
        <w:spacing w:before="0" w:after="0" w:line="408" w:lineRule="exact"/>
        <w:ind w:left="0" w:right="0" w:firstLine="576"/>
        <w:jc w:val="left"/>
      </w:pPr>
      <w:r>
        <w:rPr/>
        <w:t xml:space="preserve">(k) Adopt rules, under chapter 34.05 RCW, necessary to carry out the powers and duties enumerated in this chapter.</w:t>
      </w:r>
    </w:p>
    <w:p>
      <w:pPr>
        <w:spacing w:before="0" w:after="0" w:line="408" w:lineRule="exact"/>
        <w:ind w:left="0" w:right="0" w:firstLine="576"/>
        <w:jc w:val="left"/>
      </w:pPr>
      <w:r>
        <w:rPr/>
        <w:t xml:space="preserve">(l) Provide administrative assistance, space, and other support as may be necessary for the activities of the energy facility site evaluation council, as provided for in RCW 80.50.030.</w:t>
      </w:r>
    </w:p>
    <w:p>
      <w:pPr>
        <w:spacing w:before="0" w:after="0" w:line="408" w:lineRule="exact"/>
        <w:ind w:left="0" w:right="0" w:firstLine="576"/>
        <w:jc w:val="left"/>
      </w:pPr>
      <w:r>
        <w:rPr/>
        <w:t xml:space="preserve">(m) Appoint staff as may be needed to administer energy policy functions and manage energy facility site evaluation council activities. These employees are exempt from the provisions of chapter 41.06 RCW.</w:t>
      </w:r>
    </w:p>
    <w:p>
      <w:pPr>
        <w:spacing w:before="0" w:after="0" w:line="408" w:lineRule="exact"/>
        <w:ind w:left="0" w:right="0" w:firstLine="576"/>
        <w:jc w:val="left"/>
      </w:pPr>
      <w:r>
        <w:rPr/>
        <w:t xml:space="preserve">(3) To the extent the powers and duties set out under this section relate to energy education, applied research, and technology transfer programs they are transferred to Washington State University.</w:t>
      </w:r>
    </w:p>
    <w:p>
      <w:pPr>
        <w:spacing w:before="0" w:after="0" w:line="408" w:lineRule="exact"/>
        <w:ind w:left="0" w:right="0" w:firstLine="576"/>
        <w:jc w:val="left"/>
      </w:pPr>
      <w:r>
        <w:rPr/>
        <w:t xml:space="preserve">(4) To the extent the powers and duties set out under this section relate to energy efficiency in public buildings they are transferred to the department of enterprise services.</w:t>
      </w:r>
    </w:p>
    <w:p/>
    <w:p>
      <w:pPr>
        <w:jc w:val="center"/>
      </w:pPr>
      <w:r>
        <w:rPr>
          <w:b/>
        </w:rPr>
        <w:t>--- END ---</w:t>
      </w:r>
    </w:p>
    <w:sectPr>
      <w:pgNumType w:start="1"/>
      <w:footerReference xmlns:r="http://schemas.openxmlformats.org/officeDocument/2006/relationships" r:id="R23c1e59c7ac148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72285d690a4369" /><Relationship Type="http://schemas.openxmlformats.org/officeDocument/2006/relationships/footer" Target="/word/footer1.xml" Id="R23c1e59c7ac148e0" /></Relationships>
</file>