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fa2b6870d4d6a" /></Relationships>
</file>

<file path=word/document.xml><?xml version="1.0" encoding="utf-8"?>
<w:document xmlns:w="http://schemas.openxmlformats.org/wordprocessingml/2006/main">
  <w:body>
    <w:p>
      <w:r>
        <w:t>S-0606.2</w:t>
      </w:r>
    </w:p>
    <w:p>
      <w:pPr>
        <w:jc w:val="center"/>
      </w:pPr>
      <w:r>
        <w:t>_______________________________________________</w:t>
      </w:r>
    </w:p>
    <w:p/>
    <w:p>
      <w:pPr>
        <w:jc w:val="center"/>
      </w:pPr>
      <w:r>
        <w:rPr>
          <w:b/>
        </w:rPr>
        <w:t>SENATE BILL 5554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Nguyen, Conway, Hasegawa, Hunt, Nobles, Randall, Valdez, and C. Wilson</w:t>
      </w:r>
    </w:p>
    <w:p/>
    <w:p>
      <w:r>
        <w:rPr>
          <w:t xml:space="preserve">Read first time 01/25/23.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college grant award amounts; amending RCW 28B.92.030; and adding a new section to chapter 28B.92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2022 c 166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w:t>
      </w:r>
      <w:r>
        <w:t>((</w:t>
      </w:r>
      <w:r>
        <w:rPr>
          <w:strike/>
        </w:rPr>
        <w:t xml:space="preserve">may</w:t>
      </w:r>
      <w:r>
        <w:t>))</w:t>
      </w:r>
      <w:r>
        <w:rPr/>
        <w:t xml:space="preserve"> </w:t>
      </w:r>
      <w:r>
        <w:rPr>
          <w:u w:val="single"/>
        </w:rPr>
        <w:t xml:space="preserve">must</w:t>
      </w:r>
      <w:r>
        <w:rPr/>
        <w:t xml:space="preserve"> increase each year </w:t>
      </w:r>
      <w:r>
        <w:t>((</w:t>
      </w:r>
      <w:r>
        <w:rPr>
          <w:strike/>
        </w:rPr>
        <w:t xml:space="preserve">afterwards</w:t>
      </w:r>
      <w:r>
        <w:t>))</w:t>
      </w:r>
      <w:r>
        <w:rPr/>
        <w:t xml:space="preserve"> </w:t>
      </w:r>
      <w:r>
        <w:rPr>
          <w:u w:val="single"/>
        </w:rPr>
        <w:t xml:space="preserve">beginning in the 2023-24 academic year</w:t>
      </w:r>
      <w:r>
        <w:rPr/>
        <w:t xml:space="preserve"> by </w:t>
      </w:r>
      <w:r>
        <w:t>((</w:t>
      </w:r>
      <w:r>
        <w:rPr>
          <w:strike/>
        </w:rPr>
        <w:t xml:space="preserve">no more than</w:t>
      </w:r>
      <w:r>
        <w:t>))</w:t>
      </w:r>
      <w:r>
        <w:rPr/>
        <w:t xml:space="preserve">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beginning in the 2022-23 academic year, is the same amount as the maximum Washington college grant for students attending two-year institutions of higher education as defined in (a) of this subsection to be used for tuition and fees, program supplies and equipment, and other costs that facilitate educational endeavors.</w:t>
      </w:r>
    </w:p>
    <w:p>
      <w:pPr>
        <w:spacing w:before="0" w:after="0" w:line="408" w:lineRule="exact"/>
        <w:ind w:left="0" w:right="0" w:firstLine="576"/>
        <w:jc w:val="left"/>
      </w:pPr>
      <w:r>
        <w:rPr>
          <w:u w:val="single"/>
        </w:rPr>
        <w:t xml:space="preserve">(h) Upon notification by the office of the attorney general that an institution identified in (a) through (g) of this subsection is subject to a final court order for discriminatory employment practices in violation of chapter 49.60 RCW, as provided for in section 2 of this act, the maximum grant for students attending the institution shall be the award level the institution was receiving at the time of the order, unless the institution has taken corrective action under section 2(1)(a) and (b) of this act.</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Any institution of higher education subject to a final court order for discriminatory employment practices in violation of chapter 49.60 RCW filed by the attorney general under RCW 49.60.350 shall not be eligible for adjustments to the maximum Washington college grant award as provided for in RCW 28B.92.030(5) unless:</w:t>
      </w:r>
    </w:p>
    <w:p>
      <w:pPr>
        <w:spacing w:before="0" w:after="0" w:line="408" w:lineRule="exact"/>
        <w:ind w:left="0" w:right="0" w:firstLine="576"/>
        <w:jc w:val="left"/>
      </w:pPr>
      <w:r>
        <w:rPr/>
        <w:t xml:space="preserve">(a) The institution of higher education has fulfilled the conditions or obligations associated with any court order or settlement resulting from the violation; or</w:t>
      </w:r>
    </w:p>
    <w:p>
      <w:pPr>
        <w:spacing w:before="0" w:after="0" w:line="408" w:lineRule="exact"/>
        <w:ind w:left="0" w:right="0" w:firstLine="576"/>
        <w:jc w:val="left"/>
      </w:pPr>
      <w:r>
        <w:rPr/>
        <w:t xml:space="preserve">(b) The institution of higher education has taken significant and meaningful steps to correct the violation, as determined by the Washington state human rights commission.</w:t>
      </w:r>
    </w:p>
    <w:p>
      <w:pPr>
        <w:spacing w:before="0" w:after="0" w:line="408" w:lineRule="exact"/>
        <w:ind w:left="0" w:right="0" w:firstLine="576"/>
        <w:jc w:val="left"/>
      </w:pPr>
      <w:r>
        <w:rPr/>
        <w:t xml:space="preserve">(2) An institution of higher education involved in a court proceeding brought by the attorney general under RCW 49.60.350 may continue to receive the inflationary adjustment provided in RCW 28B.92.030 until a final order adjudicates the matter.</w:t>
      </w:r>
    </w:p>
    <w:p/>
    <w:p>
      <w:pPr>
        <w:jc w:val="center"/>
      </w:pPr>
      <w:r>
        <w:rPr>
          <w:b/>
        </w:rPr>
        <w:t>--- END ---</w:t>
      </w:r>
    </w:p>
    <w:sectPr>
      <w:pgNumType w:start="1"/>
      <w:footerReference xmlns:r="http://schemas.openxmlformats.org/officeDocument/2006/relationships" r:id="R14388e926cc54e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39c5f7a8046b9" /><Relationship Type="http://schemas.openxmlformats.org/officeDocument/2006/relationships/footer" Target="/word/footer1.xml" Id="R14388e926cc54e2e" /></Relationships>
</file>