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5ca116d3e344dd" /></Relationships>
</file>

<file path=word/document.xml><?xml version="1.0" encoding="utf-8"?>
<w:document xmlns:w="http://schemas.openxmlformats.org/wordprocessingml/2006/main">
  <w:body>
    <w:p>
      <w:r>
        <w:t>S-0225.1</w:t>
      </w:r>
    </w:p>
    <w:p>
      <w:pPr>
        <w:jc w:val="center"/>
      </w:pPr>
      <w:r>
        <w:t>_______________________________________________</w:t>
      </w:r>
    </w:p>
    <w:p/>
    <w:p>
      <w:pPr>
        <w:jc w:val="center"/>
      </w:pPr>
      <w:r>
        <w:rPr>
          <w:b/>
        </w:rPr>
        <w:t>SENATE BILL 5576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Kuderer, Lovelett, Nobles, Saldaña, Trudeau, Valdez, and C. Wilson</w:t>
      </w:r>
    </w:p>
    <w:p/>
    <w:p>
      <w:r>
        <w:rPr>
          <w:t xml:space="preserve">Read first time 01/26/23.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procedures; and amending RCW 43.43.754 and 9A.44.020.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2021 c 215 s 149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(chapter 9A.44 RCW);</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Indecent exposure (RCW 9A.88.010);</w:t>
      </w:r>
    </w:p>
    <w:p>
      <w:pPr>
        <w:spacing w:before="0" w:after="0" w:line="408" w:lineRule="exact"/>
        <w:ind w:left="0" w:right="0" w:firstLine="576"/>
        <w:jc w:val="left"/>
      </w:pPr>
      <w:r>
        <w:rPr/>
        <w:t xml:space="preserve">(xi) Violation of a sexual assault protection order granted under chapter 7.105 RCW or former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t xml:space="preserve">(iii) The sample was collected on or after June 12, 2008, and before January 1, 2020.</w:t>
      </w:r>
    </w:p>
    <w:p>
      <w:pPr>
        <w:spacing w:before="0" w:after="0" w:line="408" w:lineRule="exact"/>
        <w:ind w:left="0" w:right="0" w:firstLine="576"/>
        <w:jc w:val="left"/>
      </w:pPr>
      <w:r>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t xml:space="preserve">(4)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(5)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or a department of children, youth, and families facility, and are serving a term of confinement in a city or county jail facility, the city or county jail facility shall be responsible for obtaining the biological samples </w:t>
      </w:r>
      <w:r>
        <w:rPr>
          <w:u w:val="single"/>
        </w:rPr>
        <w:t xml:space="preserve">prior to the person's release from confinement. If the biological samples are not collected prior to the person's release from confinement, then the sentencing court shall schedule a compliance hearing within five days of the person's release to ensure that the biological samples have been collected</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department of children, youth, and families facility, or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children, youth, and families facility, the facility holding the person shall be responsible for obtaining the biological samples as part of the intake process. If the facility did not collect the biological sample during the intake process, then the facility shall collect the biological sample as soon as is practicable </w:t>
      </w:r>
      <w:r>
        <w:rPr>
          <w:u w:val="single"/>
        </w:rPr>
        <w:t xml:space="preserve">prior to the person's release from confinement</w:t>
      </w:r>
      <w:r>
        <w:rPr/>
        <w:t xml:space="preserve">. For those persons incarcerated before June 12, 2008, who have not yet had a biological sample collected, priority shall be given to those persons who will be released the soonest. </w:t>
      </w:r>
      <w:r>
        <w:rPr>
          <w:u w:val="single"/>
        </w:rPr>
        <w:t xml:space="preserve">If the biological samples are not collected prior to the person's release from confinement, then the sentencing court shall schedule a compliance hearing within five days of the person's release to ensure that the biological samples have been collected.</w:t>
      </w:r>
    </w:p>
    <w:p>
      <w:pPr>
        <w:spacing w:before="0" w:after="0" w:line="408" w:lineRule="exact"/>
        <w:ind w:left="0" w:right="0" w:firstLine="576"/>
        <w:jc w:val="left"/>
      </w:pPr>
      <w:r>
        <w:rPr/>
        <w:t xml:space="preserve">(d) For persons convicted of any offense listed in subsection (1)(a) of this section or adjudicated guilty of an equivalent juvenile offense, who will not serve a term of confinement, the court shall: Order the person to </w:t>
      </w:r>
      <w:r>
        <w:t>((</w:t>
      </w:r>
      <w:r>
        <w:rPr>
          <w:strike/>
        </w:rPr>
        <w:t xml:space="preserve">report to the local police department or sheriff's office as provided under subsection (5)(b)(i) of this section within a reasonable period of time established by the court in order to provide a biological sample</w:t>
      </w:r>
      <w:r>
        <w:t>))</w:t>
      </w:r>
      <w:r>
        <w:rPr/>
        <w:t xml:space="preserve"> </w:t>
      </w:r>
      <w:r>
        <w:rPr>
          <w:u w:val="single"/>
        </w:rPr>
        <w:t xml:space="preserve">be administratively booked at a city or county jail facility for the sole purpose of providing a biological sample</w:t>
      </w:r>
      <w:r>
        <w:rPr/>
        <w:t xml:space="preserve">; or if the local police department or sheriff's office has a protocol for collecting the biological sample in the courtroom, order the person to immediately provide the biological sample to the local police department or sheriff's office before leaving the presence of the court. The court must further inform the person that refusal to provide a biological sample is a gross misdemeanor under this section. </w:t>
      </w:r>
    </w:p>
    <w:p>
      <w:pPr>
        <w:spacing w:before="0" w:after="0" w:line="408" w:lineRule="exact"/>
        <w:ind w:left="0" w:right="0" w:firstLine="576"/>
        <w:jc w:val="left"/>
      </w:pPr>
      <w:r>
        <w:rPr>
          <w:u w:val="single"/>
        </w:rPr>
        <w:t xml:space="preserve">(e) For persons convicted of any offense listed in subsection (1)(a) of this section or adjudicated guilty of an equivalent juvenile offense, the court must create and implement a biological sample collection protocol. The court shall obtain the biological samples at the time of sentencing. The court must inform the person that refusal to provide a biological sample is a gross misdemeanor under this section. If the biological samples are not collected at the time of sentencing, then the biological samples shall be collected pursuant to (a) through (d) of this subsection, and the court shall schedule a compliance hearing within five days of the sentencing to ensure that the biological samples have been collected.</w:t>
      </w:r>
    </w:p>
    <w:p>
      <w:pPr>
        <w:spacing w:before="0" w:after="0" w:line="408" w:lineRule="exact"/>
        <w:ind w:left="0" w:right="0" w:firstLine="576"/>
        <w:jc w:val="left"/>
      </w:pPr>
      <w:r>
        <w:rPr/>
        <w:t xml:space="preserve">(6)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(7) The forensic laboratory services bureau of the Washington state patrol is responsible for testing performed on all biological samples that are collected under this section, to the extent allowed by funding available for this purpose. Known duplicate samples may be excluded from testing unless testing is deemed necessary or advisable by the director.</w:t>
      </w:r>
    </w:p>
    <w:p>
      <w:pPr>
        <w:spacing w:before="0" w:after="0" w:line="408" w:lineRule="exact"/>
        <w:ind w:left="0" w:right="0" w:firstLine="576"/>
        <w:jc w:val="left"/>
      </w:pPr>
      <w:r>
        <w:rPr/>
        <w:t xml:space="preserve">(8)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on the date of conviction;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 and</w:t>
      </w:r>
    </w:p>
    <w:p>
      <w:pPr>
        <w:spacing w:before="0" w:after="0" w:line="408" w:lineRule="exact"/>
        <w:ind w:left="0" w:right="0" w:firstLine="576"/>
        <w:jc w:val="left"/>
      </w:pPr>
      <w:r>
        <w:rPr/>
        <w:t xml:space="preserve">(d) All samples submitted under subsections (2) and (3) of this section.</w:t>
      </w:r>
    </w:p>
    <w:p>
      <w:pPr>
        <w:spacing w:before="0" w:after="0" w:line="408" w:lineRule="exact"/>
        <w:ind w:left="0" w:right="0" w:firstLine="576"/>
        <w:jc w:val="left"/>
      </w:pPr>
      <w:r>
        <w:rPr/>
        <w:t xml:space="preserve">(9)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(10)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(11) A person commits the crime of refusal to provide DNA if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020</w:t>
      </w:r>
      <w:r>
        <w:rPr/>
        <w:t xml:space="preserve"> and 2013 c 302 s 7 are each amended to read as follows:</w:t>
      </w:r>
    </w:p>
    <w:p>
      <w:pPr>
        <w:spacing w:before="0" w:after="0" w:line="408" w:lineRule="exact"/>
        <w:ind w:left="0" w:right="0" w:firstLine="576"/>
        <w:jc w:val="left"/>
      </w:pPr>
      <w:r>
        <w:rPr/>
        <w:t xml:space="preserve">(1) In order to convict a person of any crime defined in this chapter it shall not be necessary that the testimony of the alleged victim be corroborated.</w:t>
      </w:r>
    </w:p>
    <w:p>
      <w:pPr>
        <w:spacing w:before="0" w:after="0" w:line="408" w:lineRule="exact"/>
        <w:ind w:left="0" w:right="0" w:firstLine="576"/>
        <w:jc w:val="left"/>
      </w:pPr>
      <w:r>
        <w:rPr/>
        <w:t xml:space="preserve">(2) Evidence of the victim's past sexual behavior including but not limited to the victim's marital history</w:t>
      </w:r>
      <w:r>
        <w:t>((</w:t>
      </w:r>
      <w:r>
        <w:rPr>
          <w:strike/>
        </w:rPr>
        <w:t xml:space="preserve">,</w:t>
      </w:r>
      <w:r>
        <w:t>))</w:t>
      </w:r>
      <w:r>
        <w:rPr>
          <w:u w:val="single"/>
        </w:rPr>
        <w:t xml:space="preserve">;</w:t>
      </w:r>
      <w:r>
        <w:rPr/>
        <w:t xml:space="preserve"> divorce history</w:t>
      </w:r>
      <w:r>
        <w:t>((</w:t>
      </w:r>
      <w:r>
        <w:rPr>
          <w:strike/>
        </w:rPr>
        <w:t xml:space="preserve">,</w:t>
      </w:r>
      <w:r>
        <w:t>))</w:t>
      </w:r>
      <w:r>
        <w:rPr>
          <w:u w:val="single"/>
        </w:rPr>
        <w:t xml:space="preserve">;</w:t>
      </w:r>
      <w:r>
        <w:rPr/>
        <w:t xml:space="preserve"> </w:t>
      </w:r>
      <w:r>
        <w:t>((</w:t>
      </w:r>
      <w:r>
        <w:rPr>
          <w:strike/>
        </w:rPr>
        <w:t xml:space="preserve">or</w:t>
      </w:r>
      <w:r>
        <w:t>))</w:t>
      </w:r>
      <w:r>
        <w:rPr/>
        <w:t xml:space="preserve"> general reputation for promiscuity, nonchastity, or sexual mores contrary to community standards</w:t>
      </w:r>
      <w:r>
        <w:rPr>
          <w:u w:val="single"/>
        </w:rPr>
        <w:t xml:space="preserve">; or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w:t>
      </w:r>
      <w:r>
        <w:rPr/>
        <w:t xml:space="preserve"> is inadmissible on the issue of credibility and is inadmissible to prove the victim's consent except as provided in subsection (3) of this section, but when the perpetrator and the victim have engaged in sexual intercourse with each other in the past, and when the past behavior is material to the issue of consent, evidence concerning the past behavior between the perpetrator and the victim may be admissible on the issue of consent to the offense.</w:t>
      </w:r>
    </w:p>
    <w:p>
      <w:pPr>
        <w:spacing w:before="0" w:after="0" w:line="408" w:lineRule="exact"/>
        <w:ind w:left="0" w:right="0" w:firstLine="576"/>
        <w:jc w:val="left"/>
      </w:pPr>
      <w:r>
        <w:rPr/>
        <w:t xml:space="preserve">(3) In any prosecution for the crime of rape, trafficking pursuant to RCW 9A.40.100, or any of the offenses in chapter 9.68A RCW, or for an attempt to commit, or an assault with an intent to commit any such crime evidence of the victim's past sexual behavior including but not limited to the victim's marital behavior</w:t>
      </w:r>
      <w:r>
        <w:t>((</w:t>
      </w:r>
      <w:r>
        <w:rPr>
          <w:strike/>
        </w:rPr>
        <w:t xml:space="preserve">,</w:t>
      </w:r>
      <w:r>
        <w:t>))</w:t>
      </w:r>
      <w:r>
        <w:rPr>
          <w:u w:val="single"/>
        </w:rPr>
        <w:t xml:space="preserve">;</w:t>
      </w:r>
      <w:r>
        <w:rPr/>
        <w:t xml:space="preserve"> divorce history</w:t>
      </w:r>
      <w:r>
        <w:t>((</w:t>
      </w:r>
      <w:r>
        <w:rPr>
          <w:strike/>
        </w:rPr>
        <w:t xml:space="preserve">,</w:t>
      </w:r>
      <w:r>
        <w:t>))</w:t>
      </w:r>
      <w:r>
        <w:rPr>
          <w:u w:val="single"/>
        </w:rPr>
        <w:t xml:space="preserve">;</w:t>
      </w:r>
      <w:r>
        <w:rPr/>
        <w:t xml:space="preserve"> </w:t>
      </w:r>
      <w:r>
        <w:t>((</w:t>
      </w:r>
      <w:r>
        <w:rPr>
          <w:strike/>
        </w:rPr>
        <w:t xml:space="preserve">or</w:t>
      </w:r>
      <w:r>
        <w:t>))</w:t>
      </w:r>
      <w:r>
        <w:rPr/>
        <w:t xml:space="preserve"> general reputation for promiscuity, nonchastity, or sexual mores contrary to community standards</w:t>
      </w:r>
      <w:r>
        <w:rPr>
          <w:u w:val="single"/>
        </w:rPr>
        <w:t xml:space="preserve">; or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w:t>
      </w:r>
      <w:r>
        <w:rPr/>
        <w:t xml:space="preserve"> is not admissible if offered to attack the credibility of the victim and is admissible on the issue of consent, except where prohibited in the underlying criminal offense, only pursuant to the following procedure:</w:t>
      </w:r>
    </w:p>
    <w:p>
      <w:pPr>
        <w:spacing w:before="0" w:after="0" w:line="408" w:lineRule="exact"/>
        <w:ind w:left="0" w:right="0" w:firstLine="576"/>
        <w:jc w:val="left"/>
      </w:pPr>
      <w:r>
        <w:rPr/>
        <w:t xml:space="preserve">(a) A written pretrial motion shall be made by the defendant to the court and prosecutor stating that the defense has an offer of proof of the relevancy of evidence of the past sexual behavior of the victim proposed to be presented and its relevancy on the issue of the consent of the victim.</w:t>
      </w:r>
    </w:p>
    <w:p>
      <w:pPr>
        <w:spacing w:before="0" w:after="0" w:line="408" w:lineRule="exact"/>
        <w:ind w:left="0" w:right="0" w:firstLine="576"/>
        <w:jc w:val="left"/>
      </w:pPr>
      <w:r>
        <w:rPr/>
        <w:t xml:space="preserve">(b) The written motion shall be accompanied by an affidavit or affidavits in which the offer of proof shall be stated.</w:t>
      </w:r>
    </w:p>
    <w:p>
      <w:pPr>
        <w:spacing w:before="0" w:after="0" w:line="408" w:lineRule="exact"/>
        <w:ind w:left="0" w:right="0" w:firstLine="576"/>
        <w:jc w:val="left"/>
      </w:pPr>
      <w:r>
        <w:rPr/>
        <w:t xml:space="preserve">(c) If the court finds that the offer of proof is sufficient, the court shall order a hearing out of the presence of the jury, if any, and the hearing shall be closed except to the necessary witnesses, the defendant, counsel, and those who have a direct interest in the case or in the work of the court.</w:t>
      </w:r>
    </w:p>
    <w:p>
      <w:pPr>
        <w:spacing w:before="0" w:after="0" w:line="408" w:lineRule="exact"/>
        <w:ind w:left="0" w:right="0" w:firstLine="576"/>
        <w:jc w:val="left"/>
      </w:pPr>
      <w:r>
        <w:rPr/>
        <w:t xml:space="preserve">(d) At the conclusion of the hearing, if the court finds that the evidence proposed to be offered by the defendant regarding the past sexual behavior of the victim is relevant to the issue of the victim's consent; is not inadmissible because its probative value is substantially outweighed by the probability that its admission will create a substantial danger of undue prejudice; and that its exclusion would result in denial of substantial justice to the defendant; the court shall make an order stating what evidence may be introduced by the defendant, which order may include the nature of the questions to be permitted. The defendant may then offer evidence pursuant to the order of the court.</w:t>
      </w:r>
    </w:p>
    <w:p>
      <w:pPr>
        <w:spacing w:before="0" w:after="0" w:line="408" w:lineRule="exact"/>
        <w:ind w:left="0" w:right="0" w:firstLine="576"/>
        <w:jc w:val="left"/>
      </w:pPr>
      <w:r>
        <w:rPr/>
        <w:t xml:space="preserve">(4) Nothing in this section shall be construed to prohibit cross-examination of the victim on the issue of past sexual behavior when the prosecution presents evidence in its case in chief tending to prove the nature of the victim's past sexual behavior, but the court may require a hearing pursuant to subsection (3) of this section concerning such evidence.</w:t>
      </w:r>
    </w:p>
    <w:p/>
    <w:p>
      <w:pPr>
        <w:jc w:val="center"/>
      </w:pPr>
      <w:r>
        <w:rPr>
          <w:b/>
        </w:rPr>
        <w:t>--- END ---</w:t>
      </w:r>
    </w:p>
    <w:sectPr>
      <w:pgNumType w:start="1"/>
      <w:footerReference xmlns:r="http://schemas.openxmlformats.org/officeDocument/2006/relationships" r:id="R340c37a4f1dd43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e1c9e5c3b4f2f" /><Relationship Type="http://schemas.openxmlformats.org/officeDocument/2006/relationships/footer" Target="/word/footer1.xml" Id="R340c37a4f1dd43ed" /></Relationships>
</file>