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7ac353004a09" /></Relationships>
</file>

<file path=word/document.xml><?xml version="1.0" encoding="utf-8"?>
<w:document xmlns:w="http://schemas.openxmlformats.org/wordprocessingml/2006/main">
  <w:body>
    <w:p>
      <w:r>
        <w:t>S-0891.1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King, Robinson, and Wellman</w:t>
      </w:r>
    </w:p>
    <w:p/>
    <w:p>
      <w:r>
        <w:rPr>
          <w:t xml:space="preserve">Read first time 01/26/23.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employees' paid family or medical leave data; and amending RCW 50A.25.040.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50A</w:t>
      </w:r>
      <w:r>
        <w:rPr/>
        <w:t xml:space="preserve">.</w:t>
      </w:r>
      <w:r>
        <w:t xml:space="preserve">25</w:t>
      </w:r>
      <w:r>
        <w:rPr/>
        <w:t xml:space="preserve">.</w:t>
      </w:r>
      <w:r>
        <w:t xml:space="preserve">040</w:t>
      </w:r>
      <w:r>
        <w:rPr/>
        <w:t xml:space="preserve"> and 2019 c 13 s 73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individual shall have access to all records and information concerning that individual held by the department unless the information is exempt from disclosure under RCW 42.56.410.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 employer shall have access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Its own records relating to any claim or determination for family or medical leave benefits by an individual;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Records and information relating to a decision to allow or deny benefits if the decision is based on material information provided by the employer;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Records and information related to that employer's premium assessment.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</w:t>
      </w:r>
      <w:r>
        <w:rPr>
          <w:u w:val="single"/>
        </w:rPr>
        <w:t xml:space="preserve">(a) Any interested party, as defined by rule, may have access to certain records and information related to an employee's paid family or medical leave claim.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interested party may have access in a manner defined by rule to the following information related to the employee's claim: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Type of leave being taken;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Requested duration of leave including the approved dates of leave;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Remaining hours of leave available in the employee's entitlement;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Weekly benefit amount;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Actual benefits paid and hours claimed.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Any information provided under this subsection shall be considered accurate to the extent possible based on information available to the department at the time the request is processed.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Any information provided under this subsection may only be used for the purpose of administering internal employer leave or benefit practices under established employer policies.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 The department may disclose records and information deemed confidential under this chapter to a third party acting on behalf of an individual or employer that would otherwise be eligible to receive records under subsection (1) or (2) of this section when the department receives a signed release from the individual or employer. The release must include a statement: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Specifically identifying the information that is to be disclosed;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That state government files will be accessed to obtain that information;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Of the specific purpose or purposes for which the information is sought and a statement that information obtained under the release will only be used for that purpose or purposes;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Indicating all the parties who may receive the information disclosed.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383f7ca393b44a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a6d565424447" /><Relationship Type="http://schemas.openxmlformats.org/officeDocument/2006/relationships/footer" Target="/word/footer1.xml" Id="Rc383f7ca393b44ae" /></Relationships>
</file>