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87386a14e8400e" /></Relationships>
</file>

<file path=word/document.xml><?xml version="1.0" encoding="utf-8"?>
<w:document xmlns:w="http://schemas.openxmlformats.org/wordprocessingml/2006/main">
  <w:body>
    <w:p>
      <w:r>
        <w:t>S-1185.1</w:t>
      </w:r>
    </w:p>
    <w:p>
      <w:pPr>
        <w:jc w:val="center"/>
      </w:pPr>
      <w:r>
        <w:t>_______________________________________________</w:t>
      </w:r>
    </w:p>
    <w:p/>
    <w:p>
      <w:pPr>
        <w:jc w:val="center"/>
      </w:pPr>
      <w:r>
        <w:rPr>
          <w:b/>
        </w:rPr>
        <w:t>SENATE BILL 5697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Kuderer, Conway, Hunt, Lovelett, and C. Wilson</w:t>
      </w:r>
    </w:p>
    <w:p/>
    <w:p>
      <w:r>
        <w:rPr>
          <w:t xml:space="preserve">Read first time 02/03/23.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utilities and transportation commission to regulate the rates and services of all persons engaging in the business of acting as a landlord for a mobile home park, manufactured housing community, or manufactured/mobile home community; amending RCW 80.01.040 and 59.20.060; reenacting and amending RCW 59.20.030; adding new sections to chapter 59.20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w:t>
      </w:r>
      <w:r>
        <w:rPr>
          <w:u w:val="single"/>
        </w:rPr>
        <w:t xml:space="preserve">"Consumer price index" means the September 12-month percent change in the consumer price index for all urban consumers, west region, as published by the bureau of labor statistics of the United States department of labor in September of the current calendar year.</w:t>
      </w:r>
    </w:p>
    <w:p>
      <w:pPr>
        <w:spacing w:before="0" w:after="0" w:line="408" w:lineRule="exact"/>
        <w:ind w:left="0" w:right="0" w:firstLine="576"/>
        <w:jc w:val="left"/>
      </w:pPr>
      <w:r>
        <w:rPr>
          <w:u w:val="single"/>
        </w:rPr>
        <w:t xml:space="preserve">(4)</w:t>
      </w:r>
      <w:r>
        <w:rPr/>
        <w:t xml:space="preserve">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"Manufactured/mobile home" means either a manufactured home or a mobile home;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change of station" means: (a) Transfer to a unit located at another port or duty station; (b) change of a unit's home port or permanent duty station; (c) call to active duty for a period not less than ninety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described in section 3 of this act and as provided in RCW 59.20.060(2)(c), a landlord may not increase the rent for any tenancy:</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At any time after the first year of the tenancy in an amount greater than the rate of inflation as measured by the consumer price index above the existing rent.</w:t>
      </w:r>
    </w:p>
    <w:p>
      <w:pPr>
        <w:spacing w:before="0" w:after="0" w:line="408" w:lineRule="exact"/>
        <w:ind w:left="0" w:right="0" w:firstLine="576"/>
        <w:jc w:val="left"/>
      </w:pPr>
      <w:r>
        <w:rPr/>
        <w:t xml:space="preserve">(2) Notice under this section must comply with the requirements of RCW 59.20.090(2) and be served in accordance with RCW 59.12.040.</w:t>
      </w:r>
    </w:p>
    <w:p>
      <w:pPr>
        <w:spacing w:before="0" w:after="0" w:line="408" w:lineRule="exact"/>
        <w:ind w:left="0" w:right="0" w:firstLine="576"/>
        <w:jc w:val="left"/>
      </w:pPr>
      <w:r>
        <w:rPr/>
        <w:t xml:space="preserve">(3) A landlord terminating a tenancy may not set rent for the next tenancy in an amount greater than the consumer price index above the previous rent.</w:t>
      </w:r>
    </w:p>
    <w:p>
      <w:pPr>
        <w:spacing w:before="0" w:after="0" w:line="408" w:lineRule="exact"/>
        <w:ind w:left="0" w:right="0" w:firstLine="576"/>
        <w:jc w:val="left"/>
      </w:pPr>
      <w:r>
        <w:rPr/>
        <w:t xml:space="preserve">(4) A landlord who charges rent in violation of this section and receives rent in excess of amounts permitted by this section is liable to the tenant for an amount not to exceed $100,000.</w:t>
      </w:r>
    </w:p>
    <w:p>
      <w:pPr>
        <w:spacing w:before="0" w:after="0" w:line="408" w:lineRule="exact"/>
        <w:ind w:left="0" w:right="0" w:firstLine="576"/>
        <w:jc w:val="left"/>
      </w:pPr>
      <w:r>
        <w:rPr/>
        <w:t xml:space="preserve">(5) If a mobile home park or manufactured housing community has been sold or leased, the new owner or leaseholder may not increase rent beyond the amount that the previous landlord would have been permitted to increase the rent under this section or section 3 of this act.</w:t>
      </w:r>
    </w:p>
    <w:p>
      <w:pPr>
        <w:spacing w:before="0" w:after="0" w:line="408" w:lineRule="exact"/>
        <w:ind w:left="0" w:right="0" w:firstLine="576"/>
        <w:jc w:val="left"/>
      </w:pPr>
      <w:r>
        <w:rPr/>
        <w:t xml:space="preserve">(6)(a) A landlord must file an annual report to the utilities and transportation commission. The annual report must include:</w:t>
      </w:r>
    </w:p>
    <w:p>
      <w:pPr>
        <w:spacing w:before="0" w:after="0" w:line="408" w:lineRule="exact"/>
        <w:ind w:left="0" w:right="0" w:firstLine="576"/>
        <w:jc w:val="left"/>
      </w:pPr>
      <w:r>
        <w:rPr/>
        <w:t xml:space="preserve">(i) A summary of the total number of manufactured homes and mobile homes in each park that the landlord owns;</w:t>
      </w:r>
    </w:p>
    <w:p>
      <w:pPr>
        <w:spacing w:before="0" w:after="0" w:line="408" w:lineRule="exact"/>
        <w:ind w:left="0" w:right="0" w:firstLine="576"/>
        <w:jc w:val="left"/>
      </w:pPr>
      <w:r>
        <w:rPr/>
        <w:t xml:space="preserve">(ii) The length and type of terms for each manufactured and mobile home in a park, if prices are not uniform for a given park that the landlord owns;</w:t>
      </w:r>
    </w:p>
    <w:p>
      <w:pPr>
        <w:spacing w:before="0" w:after="0" w:line="408" w:lineRule="exact"/>
        <w:ind w:left="0" w:right="0" w:firstLine="576"/>
        <w:jc w:val="left"/>
      </w:pPr>
      <w:r>
        <w:rPr/>
        <w:t xml:space="preserve">(iii) The annual turnover of renters for each manufactured home park that the landlord owns;</w:t>
      </w:r>
    </w:p>
    <w:p>
      <w:pPr>
        <w:spacing w:before="0" w:after="0" w:line="408" w:lineRule="exact"/>
        <w:ind w:left="0" w:right="0" w:firstLine="576"/>
        <w:jc w:val="left"/>
      </w:pPr>
      <w:r>
        <w:rPr/>
        <w:t xml:space="preserve">(iv) All expenditures and collections of the landlord for rental services, including money collected to pay for utilities and associated administrative fees; and</w:t>
      </w:r>
    </w:p>
    <w:p>
      <w:pPr>
        <w:spacing w:before="0" w:after="0" w:line="408" w:lineRule="exact"/>
        <w:ind w:left="0" w:right="0" w:firstLine="576"/>
        <w:jc w:val="left"/>
      </w:pPr>
      <w:r>
        <w:rPr/>
        <w:t xml:space="preserve">(v) A listing of any and all increases to rental rates in the reporting year.</w:t>
      </w:r>
    </w:p>
    <w:p>
      <w:pPr>
        <w:spacing w:before="0" w:after="0" w:line="408" w:lineRule="exact"/>
        <w:ind w:left="0" w:right="0" w:firstLine="576"/>
        <w:jc w:val="left"/>
      </w:pPr>
      <w:r>
        <w:rPr/>
        <w:t xml:space="preserve">(b) If the landlord assesses and collects from their tenants a service charge for gas or electric service, a detailed statement of each service charge that the landlord assesses and collects from the tenants and the expenditures that the landlord makes from the separate account for each service charge during the period of the report.</w:t>
      </w:r>
    </w:p>
    <w:p>
      <w:pPr>
        <w:spacing w:before="0" w:after="0" w:line="408" w:lineRule="exact"/>
        <w:ind w:left="0" w:right="0" w:firstLine="576"/>
        <w:jc w:val="left"/>
      </w:pPr>
      <w:r>
        <w:rPr/>
        <w:t xml:space="preserve">(c) If the landlord assesses and collects from the tenants a late charge for any delinquency in paying for rent, or utility services, a description of the method of calculation of such late charges must be included in the annual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may increase rent in an amount greater than allowed under section 2 of this act only by participating in the banked capacity program administered by the utilities and transportation commission or as provided in RCW 59.20.060(2)(c). If a landlord participates in the banked capacity program, the landlord may increase the rent above the maximum annual rent increase percentage by an additional amount equal to the consumer price index for each year in which the landlord has banked capacity.</w:t>
      </w:r>
    </w:p>
    <w:p>
      <w:pPr>
        <w:spacing w:before="0" w:after="0" w:line="408" w:lineRule="exact"/>
        <w:ind w:left="0" w:right="0" w:firstLine="576"/>
        <w:jc w:val="left"/>
      </w:pPr>
      <w:r>
        <w:rPr/>
        <w:t xml:space="preserve">(a) The banked capacity program operates as follows:</w:t>
      </w:r>
    </w:p>
    <w:p>
      <w:pPr>
        <w:spacing w:before="0" w:after="0" w:line="408" w:lineRule="exact"/>
        <w:ind w:left="0" w:right="0" w:firstLine="576"/>
        <w:jc w:val="left"/>
      </w:pPr>
      <w:r>
        <w:rPr/>
        <w:t xml:space="preserve">(i) If a landlord does not increase rent in a 12-month period, the landlord may choose to bank the rent increase capacity for future years. For each preceding year since the last increase in rent, the landlord may increase rent by the total consumer price index increase since the year in which rent was last raised. A landlord who participates in the banked capacity program must provide an annual notice as described in section 2(2) of this act to current and prospective tenants of the total banked capacity and possible future rent increases. Notice must be served in accordance with RCW 59.12.040. A landlord forfeits the landlord's right to claim banked rent increase capacity if the landlord fails to properly notify the landlord's tenants;</w:t>
      </w:r>
    </w:p>
    <w:p>
      <w:pPr>
        <w:spacing w:before="0" w:after="0" w:line="408" w:lineRule="exact"/>
        <w:ind w:left="0" w:right="0" w:firstLine="576"/>
        <w:jc w:val="left"/>
      </w:pPr>
      <w:r>
        <w:rPr/>
        <w:t xml:space="preserve">(ii) If a tenant is evicted or if a tenant leaves after an eviction has been initiated, for any new rental agreement entered into within 12 months of the termination of the prior tenancy, the amount of rent that a landlord may charge a new tenant is limited to the previous tenant's rent plus any banked capacity that was accrued under the prior tenancy;</w:t>
      </w:r>
    </w:p>
    <w:p>
      <w:pPr>
        <w:spacing w:before="0" w:after="0" w:line="408" w:lineRule="exact"/>
        <w:ind w:left="0" w:right="0" w:firstLine="576"/>
        <w:jc w:val="left"/>
      </w:pPr>
      <w:r>
        <w:rPr/>
        <w:t xml:space="preserve">(iii) If a tenant voluntarily moves out, the amount of rent that a landlord may charge a new tenant is not limited by the maximum annual rent increase percentage or any banked capacity, and the landlord may reset the rent to market rate. However, if the landlord increases the rent for the new tenant beyond the previous tenant's rent, any banked capacity is lost. If a landlord chooses not to increase the rent and charges a new tenant the same amount of rent that the landlord charged the previous tenant, the landlord may retain any banked capacity that was accrued under the prior tenancy; and</w:t>
      </w:r>
    </w:p>
    <w:p>
      <w:pPr>
        <w:spacing w:before="0" w:after="0" w:line="408" w:lineRule="exact"/>
        <w:ind w:left="0" w:right="0" w:firstLine="576"/>
        <w:jc w:val="left"/>
      </w:pPr>
      <w:r>
        <w:rPr/>
        <w:t xml:space="preserve">(iv) If a new owner buys a property and takes over a lease, the new owner may not increase rent for existing tenants beyond the amount that the previous landlord would have been allowed to increase rent. The former landlord's banked capacity may be transferred as part of a property sale.</w:t>
      </w:r>
    </w:p>
    <w:p>
      <w:pPr>
        <w:spacing w:before="0" w:after="0" w:line="408" w:lineRule="exact"/>
        <w:ind w:left="0" w:right="0" w:firstLine="576"/>
        <w:jc w:val="left"/>
      </w:pPr>
      <w:r>
        <w:rPr/>
        <w:t xml:space="preserve">(2) The utilities and transportation commission shall adopt rules in accordance with chapter 80.01 RCW to implement the banked capacity program and establish a process to document when a landlord decides not to increase rent in a 12-month period and bank that capacity for future years. In order to participate in the banked capacity program, a landlord must comply with the process established by the utilities and transportation commission.</w:t>
      </w:r>
    </w:p>
    <w:p>
      <w:pPr>
        <w:spacing w:before="0" w:after="0" w:line="408" w:lineRule="exact"/>
        <w:ind w:left="0" w:right="0" w:firstLine="576"/>
        <w:jc w:val="left"/>
      </w:pPr>
      <w:r>
        <w:rPr/>
        <w:t xml:space="preserve">(3) The utilities and transportation commission must make information about the banked capacity program available on its website, including a method for tenants to verify their landlord's participation in the program and the amount of total banked capacity for their manufactured home/mobile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01</w:t>
      </w:r>
      <w:r>
        <w:rPr/>
        <w:t xml:space="preserve">.</w:t>
      </w:r>
      <w:r>
        <w:t xml:space="preserve">040</w:t>
      </w:r>
      <w:r>
        <w:rPr/>
        <w:t xml:space="preserve"> and 2007 c 234 s 1 are each amended to read as follows:</w:t>
      </w:r>
    </w:p>
    <w:p>
      <w:pPr>
        <w:spacing w:before="0" w:after="0" w:line="408" w:lineRule="exact"/>
        <w:ind w:left="0" w:right="0" w:firstLine="576"/>
        <w:jc w:val="left"/>
      </w:pPr>
      <w:r>
        <w:rPr/>
        <w:t xml:space="preserve">The utilities and transportation commission shall:</w:t>
      </w:r>
    </w:p>
    <w:p>
      <w:pPr>
        <w:spacing w:before="0" w:after="0" w:line="408" w:lineRule="exact"/>
        <w:ind w:left="0" w:right="0" w:firstLine="576"/>
        <w:jc w:val="left"/>
      </w:pPr>
      <w:r>
        <w:rPr/>
        <w:t xml:space="preserve">(1) Exercise all the powers and perform all the duties prescribed by this title and by Title 81 RCW, or by any other law.</w:t>
      </w:r>
    </w:p>
    <w:p>
      <w:pPr>
        <w:spacing w:before="0" w:after="0" w:line="408" w:lineRule="exact"/>
        <w:ind w:left="0" w:right="0" w:firstLine="576"/>
        <w:jc w:val="left"/>
      </w:pPr>
      <w:r>
        <w:rPr/>
        <w:t xml:space="preserve">(2) Regulate in the public interest, as provided by the public service laws, all persons engaging in the transportation of persons or property within this state for compensation.</w:t>
      </w:r>
    </w:p>
    <w:p>
      <w:pPr>
        <w:spacing w:before="0" w:after="0" w:line="408" w:lineRule="exact"/>
        <w:ind w:left="0" w:right="0" w:firstLine="576"/>
        <w:jc w:val="left"/>
      </w:pPr>
      <w:r>
        <w:rPr/>
        <w:t xml:space="preserve">(3) Regulate in the public interest, as provided by the public service laws, the rates, services, facilities, and practices of all persons engaging within this state in the business of supplying any utility service or commodity to the public for compensation.</w:t>
      </w:r>
    </w:p>
    <w:p>
      <w:pPr>
        <w:spacing w:before="0" w:after="0" w:line="408" w:lineRule="exact"/>
        <w:ind w:left="0" w:right="0" w:firstLine="576"/>
        <w:jc w:val="left"/>
      </w:pPr>
      <w:r>
        <w:rPr/>
        <w:t xml:space="preserve">(4) </w:t>
      </w:r>
      <w:r>
        <w:rPr>
          <w:u w:val="single"/>
        </w:rPr>
        <w:t xml:space="preserve">Regulate in the public interest, as provided by the public service laws, the rates and services of all persons engaging within this state in the business of acting as a landlord, as defined in RCW 59.020.030, for mobile home parks, manufactured housing communities, or manufactured/mobile home communities.</w:t>
      </w:r>
    </w:p>
    <w:p>
      <w:pPr>
        <w:spacing w:before="0" w:after="0" w:line="408" w:lineRule="exact"/>
        <w:ind w:left="0" w:right="0" w:firstLine="576"/>
        <w:jc w:val="left"/>
      </w:pPr>
      <w:r>
        <w:rPr>
          <w:u w:val="single"/>
        </w:rPr>
        <w:t xml:space="preserve">(5)</w:t>
      </w:r>
      <w:r>
        <w:rPr/>
        <w:t xml:space="preserve"> Make rules and regulations necessary to carry out its other powers and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closure notice as provided in RCW 59.20.080."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w:t>
      </w:r>
      <w:r>
        <w:t>((</w:t>
      </w:r>
      <w:r>
        <w:rPr>
          <w:strike/>
        </w:rPr>
        <w:t xml:space="preserve">: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r>
        <w:t>))</w:t>
      </w:r>
      <w:r>
        <w:rPr/>
        <w:t xml:space="preserv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
      <w:pPr>
        <w:jc w:val="center"/>
      </w:pPr>
      <w:r>
        <w:rPr>
          <w:b/>
        </w:rPr>
        <w:t>--- END ---</w:t>
      </w:r>
    </w:p>
    <w:sectPr>
      <w:pgNumType w:start="1"/>
      <w:footerReference xmlns:r="http://schemas.openxmlformats.org/officeDocument/2006/relationships" r:id="R15cd157b356c4b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88ce3ddcab485f" /><Relationship Type="http://schemas.openxmlformats.org/officeDocument/2006/relationships/footer" Target="/word/footer1.xml" Id="R15cd157b356c4b5b" /></Relationships>
</file>