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75bfe2100b49bb" /></Relationships>
</file>

<file path=word/document.xml><?xml version="1.0" encoding="utf-8"?>
<w:document xmlns:w="http://schemas.openxmlformats.org/wordprocessingml/2006/main">
  <w:body>
    <w:p>
      <w:r>
        <w:t>S-2056.1</w:t>
      </w:r>
    </w:p>
    <w:p>
      <w:pPr>
        <w:jc w:val="center"/>
      </w:pPr>
      <w:r>
        <w:t>_______________________________________________</w:t>
      </w:r>
    </w:p>
    <w:p/>
    <w:p>
      <w:pPr>
        <w:jc w:val="center"/>
      </w:pPr>
      <w:r>
        <w:rPr>
          <w:b/>
        </w:rPr>
        <w:t>SUBSTITUTE SENATE BILL 5748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Muzzall, Mullet, and Shewmake)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excise tax treatment of meals furnished to tenants of senior living communities as part of their rental agreement; amending RCW 82.08.0293 and 82.12.0293; adding a new section to chapter 82.04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for food, drink, or meals furnished by a senior living community to tenants as part of a rental or residency agreement for which no separate charge is made, if the rental or residency agreement constitutes a lease or rental of real estate exempt from taxation under this chapter.</w:t>
      </w:r>
    </w:p>
    <w:p>
      <w:pPr>
        <w:spacing w:before="0" w:after="0" w:line="408" w:lineRule="exact"/>
        <w:ind w:left="0" w:right="0" w:firstLine="576"/>
        <w:jc w:val="left"/>
      </w:pPr>
      <w:r>
        <w:rPr/>
        <w:t xml:space="preserve">(2) For purposes of this section, "senior living community" means any facility or campus operated under a license or registration issued under chapter 18.20 or 18.390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2022 c 16 s 152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Cannabis, useable cannabis, or cannabis-infused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w:t>
      </w:r>
      <w:r>
        <w:t>((</w:t>
      </w:r>
      <w:r>
        <w:rPr>
          <w:strike/>
        </w:rPr>
        <w:t xml:space="preserve">That are provided to</w:t>
      </w:r>
      <w:r>
        <w:t>))</w:t>
      </w:r>
      <w:r>
        <w:rPr/>
        <w:t xml:space="preserve"> </w:t>
      </w:r>
      <w:r>
        <w:rPr>
          <w:u w:val="single"/>
        </w:rPr>
        <w:t xml:space="preserve">To</w:t>
      </w:r>
      <w:r>
        <w:rPr/>
        <w:t xml:space="preserve"> senior citizens, individuals with disabilities, or low-income persons by a nonprofit organization organized under chapter 24.03A or 24.12 RCW; </w:t>
      </w:r>
      <w:r>
        <w:t>((</w:t>
      </w:r>
      <w:r>
        <w:rPr>
          <w:strike/>
        </w:rPr>
        <w:t xml:space="preserve">or</w:t>
      </w:r>
      <w:r>
        <w:t>))</w:t>
      </w:r>
    </w:p>
    <w:p>
      <w:pPr>
        <w:spacing w:before="0" w:after="0" w:line="408" w:lineRule="exact"/>
        <w:ind w:left="0" w:right="0" w:firstLine="576"/>
        <w:jc w:val="left"/>
      </w:pPr>
      <w:r>
        <w:rPr/>
        <w:t xml:space="preserve">(c) </w:t>
      </w:r>
      <w:r>
        <w:t>((</w:t>
      </w:r>
      <w:r>
        <w:rPr>
          <w:strike/>
        </w:rPr>
        <w:t xml:space="preserve">That are provided to</w:t>
      </w:r>
      <w:r>
        <w:t>))</w:t>
      </w:r>
      <w:r>
        <w:rPr/>
        <w:t xml:space="preserve"> </w:t>
      </w:r>
      <w:r>
        <w:rPr>
          <w:u w:val="single"/>
        </w:rPr>
        <w:t xml:space="preserve">To</w:t>
      </w:r>
      <w:r>
        <w:rPr/>
        <w:t xml:space="preserve">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r>
        <w:rPr>
          <w:u w:val="single"/>
        </w:rPr>
        <w:t xml:space="preserve">; or</w:t>
      </w:r>
    </w:p>
    <w:p>
      <w:pPr>
        <w:spacing w:before="0" w:after="0" w:line="408" w:lineRule="exact"/>
        <w:ind w:left="0" w:right="0" w:firstLine="576"/>
        <w:jc w:val="left"/>
      </w:pPr>
      <w:r>
        <w:rPr>
          <w:u w:val="single"/>
        </w:rPr>
        <w:t xml:space="preserve">(d) By a senior living community to tenants as part of a rental or residency agreement for which no separate charge is made, regardless of whether the tenant is a resident for purposes of chapter 18.20 or 18.390 RCW. For purposes of this subsection (3)(d), "senior living community" has the same meaning as provided in section 1 of this act</w:t>
      </w:r>
      <w:r>
        <w:rPr/>
        <w:t xml:space="preserv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2021 c 176 s 5250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"Prepared food," "soft drinks," "bottled water,"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w:t>
      </w:r>
      <w:r>
        <w:t>((</w:t>
      </w:r>
      <w:r>
        <w:rPr>
          <w:strike/>
        </w:rPr>
        <w:t xml:space="preserve">Which are provided to</w:t>
      </w:r>
      <w:r>
        <w:t>))</w:t>
      </w:r>
      <w:r>
        <w:rPr/>
        <w:t xml:space="preserve"> </w:t>
      </w:r>
      <w:r>
        <w:rPr>
          <w:u w:val="single"/>
        </w:rPr>
        <w:t xml:space="preserve">To</w:t>
      </w:r>
      <w:r>
        <w:rPr/>
        <w:t xml:space="preserve"> senior citizens, individuals with disabilities, or low-income persons by a nonprofit organization organized under chapter 24.03A or 24.12 RCW; </w:t>
      </w:r>
      <w:r>
        <w:t>((</w:t>
      </w:r>
      <w:r>
        <w:rPr>
          <w:strike/>
        </w:rPr>
        <w:t xml:space="preserve">or</w:t>
      </w:r>
      <w:r>
        <w:t>))</w:t>
      </w:r>
    </w:p>
    <w:p>
      <w:pPr>
        <w:spacing w:before="0" w:after="0" w:line="408" w:lineRule="exact"/>
        <w:ind w:left="0" w:right="0" w:firstLine="576"/>
        <w:jc w:val="left"/>
      </w:pPr>
      <w:r>
        <w:rPr/>
        <w:t xml:space="preserve">(c) </w:t>
      </w:r>
      <w:r>
        <w:t>((</w:t>
      </w:r>
      <w:r>
        <w:rPr>
          <w:strike/>
        </w:rPr>
        <w:t xml:space="preserve">That are provided to</w:t>
      </w:r>
      <w:r>
        <w:t>))</w:t>
      </w:r>
      <w:r>
        <w:rPr/>
        <w:t xml:space="preserve"> </w:t>
      </w:r>
      <w:r>
        <w:rPr>
          <w:u w:val="single"/>
        </w:rPr>
        <w:t xml:space="preserve">To</w:t>
      </w:r>
      <w:r>
        <w:rPr/>
        <w:t xml:space="preserve">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r>
        <w:rPr>
          <w:u w:val="single"/>
        </w:rPr>
        <w:t xml:space="preserve">; or</w:t>
      </w:r>
    </w:p>
    <w:p>
      <w:pPr>
        <w:spacing w:before="0" w:after="0" w:line="408" w:lineRule="exact"/>
        <w:ind w:left="0" w:right="0" w:firstLine="576"/>
        <w:jc w:val="left"/>
      </w:pPr>
      <w:r>
        <w:rPr>
          <w:u w:val="single"/>
        </w:rPr>
        <w:t xml:space="preserve">(d) By a senior living community to tenants as part of a rental or residency agreement for which no separate charge is made, regardless of whether the tenant is a resident for purposes of chapter 18.20 or 18.390 RCW. For purposes of this subsection (3)(d), "senior living community" has the same meaning as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a6a4b6b8963840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4471e55cd64e92" /><Relationship Type="http://schemas.openxmlformats.org/officeDocument/2006/relationships/footer" Target="/word/footer1.xml" Id="Ra6a4b6b8963840c1" /></Relationships>
</file>