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a1ce6451b45db" /></Relationships>
</file>

<file path=word/document.xml><?xml version="1.0" encoding="utf-8"?>
<w:document xmlns:w="http://schemas.openxmlformats.org/wordprocessingml/2006/main">
  <w:body>
    <w:p>
      <w:r>
        <w:t>S-3043.1</w:t>
      </w:r>
    </w:p>
    <w:p>
      <w:pPr>
        <w:jc w:val="center"/>
      </w:pPr>
      <w:r>
        <w:t>_______________________________________________</w:t>
      </w:r>
    </w:p>
    <w:p/>
    <w:p>
      <w:pPr>
        <w:jc w:val="center"/>
      </w:pPr>
      <w:r>
        <w:rPr>
          <w:b/>
        </w:rPr>
        <w:t>SENATE BILL 5769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price ceiling under chapter 70A.65 RCW, the climate commitment act; and amending RCW 70A.65.160.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2022 c 181 s 7 are each amended to read as follows:</w:t>
      </w:r>
    </w:p>
    <w:p>
      <w:pPr>
        <w:spacing w:before="0" w:after="0" w:line="408" w:lineRule="exact"/>
        <w:ind w:left="0" w:right="0" w:firstLine="576"/>
        <w:jc w:val="left"/>
      </w:pPr>
      <w:r>
        <w:rPr/>
        <w:t xml:space="preserve">(1) The department shall establish a price ceiling to provide cost protection for covered entities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reserve auction floor price established in RCW 70A.65.150(1). </w:t>
      </w:r>
      <w:r>
        <w:rPr>
          <w:u w:val="single"/>
        </w:rPr>
        <w:t xml:space="preserve">However, when setting the price ceiling, the department must ensure that it does not exceed an amount that is 20 percent higher than the most current auction settlement price set in California.</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covered entities as established under subsection (1) of this section. Purchases must be limited to entities that do not have sufficient eligible compliance instruments in their holding and compliance accounts for the current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The price ceiling unit emission reduction investment account is created in the state treasury. All receipts from the sale of price ceiling units must be deposited in the account. Moneys in the account may only be spent after appropriation. Moneys in the account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
      <w:pPr>
        <w:jc w:val="center"/>
      </w:pPr>
      <w:r>
        <w:rPr>
          <w:b/>
        </w:rPr>
        <w:t>--- END ---</w:t>
      </w:r>
    </w:p>
    <w:sectPr>
      <w:pgNumType w:start="1"/>
      <w:footerReference xmlns:r="http://schemas.openxmlformats.org/officeDocument/2006/relationships" r:id="R8db7896fb1e941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a7e54803a448d" /><Relationship Type="http://schemas.openxmlformats.org/officeDocument/2006/relationships/footer" Target="/word/footer1.xml" Id="R8db7896fb1e94106" /></Relationships>
</file>