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0711c16a04a2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Wagoner, Kuderer, Mullet, and Saldaña)</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accessibility for service animals in training; amending RCW 49.60.214 and 49.60.215;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become a service animal.</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customarily charges a person for damages that the person causes to the place, the place may charge a service animal trainer for damages that a service animal trainee causes to the place.</w:t>
      </w:r>
    </w:p>
    <w:p>
      <w:pPr>
        <w:spacing w:before="0" w:after="0" w:line="408" w:lineRule="exact"/>
        <w:ind w:left="0" w:right="0" w:firstLine="576"/>
        <w:jc w:val="left"/>
      </w:pPr>
      <w:r>
        <w:rPr>
          <w:u w:val="single"/>
        </w:rPr>
        <w:t xml:space="preserve">(5) A service animal trainer must maintain control of a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being trained, control may be exerted by the effective use of voice commands, signals, or other means. If an animal is not under control as required in this subsection, a place of public accommodation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may not deny a service animal trainer the right to be accompanied by a service animal trainee in any area of the place that is open to the public or to business invitees. A place of public accommodation may require a service animal trainer to remove a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may impose legitimate requirements necessary for the safe operation of the place of public accommodation. The place of public accommodation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(c) A place of public accommodation may post signage indicating the misrepresentation of an animal as a service animal or service animal trainee may result in a civil infraction of up to $500 pursuant to chapter 7.80 RCW.</w:t>
      </w:r>
    </w:p>
    <w:p>
      <w:pPr>
        <w:spacing w:before="0" w:after="0" w:line="408" w:lineRule="exact"/>
        <w:ind w:left="0" w:right="0" w:firstLine="576"/>
        <w:jc w:val="left"/>
      </w:pPr>
      <w:r>
        <w:rPr>
          <w:u w:val="single"/>
        </w:rPr>
        <w:t xml:space="preserve">(7) A place of public accommodation must make reasonable modifications as necessary to allow an opportunity for a person with a disability who is benefited by the use of a dog guide or service animal to obtain goods, services, and the use of the advantages, facilities, and privileges of the place. For purposes of this subsection, except as provided in subsection (6)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A place of public accommodation is not required to provide care or supervision for a service animal or service animal trainee.</w:t>
      </w:r>
    </w:p>
    <w:p>
      <w:pPr>
        <w:spacing w:before="0" w:after="0" w:line="408" w:lineRule="exact"/>
        <w:ind w:left="0" w:right="0" w:firstLine="576"/>
        <w:jc w:val="left"/>
      </w:pPr>
      <w:r>
        <w:rPr>
          <w:u w:val="single"/>
        </w:rPr>
        <w:t xml:space="preserve">(9)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p>
    <w:p/>
    <w:p>
      <w:pPr>
        <w:jc w:val="center"/>
      </w:pPr>
      <w:r>
        <w:rPr>
          <w:b/>
        </w:rPr>
        <w:t>--- END ---</w:t>
      </w:r>
    </w:p>
    <w:sectPr>
      <w:pgNumType w:start="1"/>
      <w:footerReference xmlns:r="http://schemas.openxmlformats.org/officeDocument/2006/relationships" r:id="R533c24dd7a204a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d10370015341ad" /><Relationship Type="http://schemas.openxmlformats.org/officeDocument/2006/relationships/footer" Target="/word/footer1.xml" Id="R533c24dd7a204a96" /></Relationships>
</file>