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adf89bd304d0e" /></Relationships>
</file>

<file path=word/document.xml><?xml version="1.0" encoding="utf-8"?>
<w:document xmlns:w="http://schemas.openxmlformats.org/wordprocessingml/2006/main">
  <w:body>
    <w:p>
      <w:r>
        <w:t>S-3523.1</w:t>
      </w:r>
    </w:p>
    <w:p>
      <w:pPr>
        <w:jc w:val="center"/>
      </w:pPr>
      <w:r>
        <w:t>_______________________________________________</w:t>
      </w:r>
    </w:p>
    <w:p/>
    <w:p>
      <w:pPr>
        <w:jc w:val="center"/>
      </w:pPr>
      <w:r>
        <w:rPr>
          <w:b/>
        </w:rPr>
        <w:t>SENATE BILL 5810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Saldaña, Valdez, Lovick, Dhingra, Holy, Robinson, Conway, Hasegawa, Hunt, Keiser, Nguyen, Nobles, Salomon, Trudeau, and C. Wilson</w:t>
      </w:r>
    </w:p>
    <w:p/>
    <w:p>
      <w:r>
        <w:rPr>
          <w:t xml:space="preserve">Prefiled 12/06/23.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collective bargaining unit for interpreters providing language access services to certain state agencies; and amending RCW 41.56.510.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2020 c 289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The only units appropriate for purposes of collective bargaining under RCW 41.56.060 are:</w:t>
      </w:r>
    </w:p>
    <w:p>
      <w:pPr>
        <w:spacing w:before="0" w:after="0" w:line="408" w:lineRule="exact"/>
        <w:ind w:left="0" w:right="0" w:firstLine="576"/>
        <w:jc w:val="left"/>
      </w:pPr>
      <w:r>
        <w:rPr/>
        <w:t xml:space="preserve">(i) A statewide unit for language access providers who provide spoken language interpreter services for </w:t>
      </w:r>
      <w:r>
        <w:rPr>
          <w:u w:val="single"/>
        </w:rPr>
        <w:t xml:space="preserve">the</w:t>
      </w:r>
      <w:r>
        <w:rPr/>
        <w:t xml:space="preserve"> department of social and health services </w:t>
      </w:r>
      <w:r>
        <w:t>((</w:t>
      </w:r>
      <w:r>
        <w:rPr>
          <w:strike/>
        </w:rPr>
        <w:t xml:space="preserve">appointments</w:t>
      </w:r>
      <w:r>
        <w:t>))</w:t>
      </w:r>
      <w:r>
        <w:rPr/>
        <w:t xml:space="preserve">, </w:t>
      </w:r>
      <w:r>
        <w:rPr>
          <w:u w:val="single"/>
        </w:rPr>
        <w:t xml:space="preserve">the</w:t>
      </w:r>
      <w:r>
        <w:rPr/>
        <w:t xml:space="preserve"> department of children, youth, and families </w:t>
      </w:r>
      <w:r>
        <w:t>((</w:t>
      </w:r>
      <w:r>
        <w:rPr>
          <w:strike/>
        </w:rPr>
        <w:t xml:space="preserve">appointments</w:t>
      </w:r>
      <w:r>
        <w:t>))</w:t>
      </w:r>
      <w:r>
        <w:rPr/>
        <w:t xml:space="preserve">, or medicaid enrollee</w:t>
      </w:r>
      <w:r>
        <w:rPr>
          <w:u w:val="single"/>
        </w:rPr>
        <w:t xml:space="preserve">s</w:t>
      </w:r>
      <w:r>
        <w:rPr/>
        <w:t xml:space="preserve"> </w:t>
      </w:r>
      <w:r>
        <w:t>((</w:t>
      </w:r>
      <w:r>
        <w:rPr>
          <w:strike/>
        </w:rPr>
        <w:t xml:space="preserve">appointments</w:t>
      </w:r>
      <w:r>
        <w:t>))</w:t>
      </w:r>
      <w:r>
        <w:rPr/>
        <w:t xml:space="preserve">;</w:t>
      </w:r>
    </w:p>
    <w:p>
      <w:pPr>
        <w:spacing w:before="0" w:after="0" w:line="408" w:lineRule="exact"/>
        <w:ind w:left="0" w:right="0" w:firstLine="576"/>
        <w:jc w:val="left"/>
      </w:pPr>
      <w:r>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t xml:space="preserve">(iii) A statewide unit for language access providers who provide spoken language interpreter services for any state agency through the department of enterprise services, excluding language access providers included in (a)(i) and (ii) of this subsection;</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including tiered payments; (ii) professional development and training; (iii) labor-management committees; (iv) grievance procedures; (v) health and welfare benefits; and </w:t>
      </w:r>
      <w:r>
        <w:t>((</w:t>
      </w:r>
      <w:r>
        <w:rPr>
          <w:strike/>
        </w:rPr>
        <w:t xml:space="preserve">(vii) [(vi)]</w:t>
      </w:r>
      <w:r>
        <w:t>))</w:t>
      </w:r>
      <w:r>
        <w:rPr/>
        <w:t xml:space="preserve"> </w:t>
      </w:r>
      <w:r>
        <w:rPr>
          <w:u w:val="single"/>
        </w:rPr>
        <w:t xml:space="preserve">(vi)</w:t>
      </w:r>
      <w:r>
        <w:rPr/>
        <w:t xml:space="preserve"> other economic matters.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(f)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0" w:after="0" w:line="408" w:lineRule="exact"/>
        <w:ind w:left="0" w:right="0" w:firstLine="576"/>
        <w:jc w:val="left"/>
      </w:pPr>
      <w:r>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the department of children, youth, and families, the department of labor and industries, and the department of enterprise services contracts for language access services and each of their subcontractors shall provide to the respective department an accurate list of language access providers, as defined in RCW 41.56.030, including their names, addresses, and other contact information, annually by January 30th, except that initially the lists must be provided within thirty days of July 1, 2018.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obligation of any state agency to comply with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or 39.26 RCW or Title 51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rPr/>
        <w:t xml:space="preserve">(12) By December 1, 2020, the department of social and health services, the department of children, youth, and families, the department of labor and industries, the health care authority, and the department of enterprise services must report to the legislature on the following:</w:t>
      </w:r>
    </w:p>
    <w:p>
      <w:pPr>
        <w:spacing w:before="0" w:after="0" w:line="408" w:lineRule="exact"/>
        <w:ind w:left="0" w:right="0" w:firstLine="576"/>
        <w:jc w:val="left"/>
      </w:pPr>
      <w:r>
        <w:rPr/>
        <w:t xml:space="preserve">(a) Each agency's current process for procuring spoken language interpreters and whether the changes in chapter 253, Laws of 2018 have been implemented;</w:t>
      </w:r>
    </w:p>
    <w:p>
      <w:pPr>
        <w:spacing w:before="0" w:after="0" w:line="408" w:lineRule="exact"/>
        <w:ind w:left="0" w:right="0" w:firstLine="576"/>
        <w:jc w:val="left"/>
      </w:pPr>
      <w:r>
        <w:rPr/>
        <w:t xml:space="preserve">(b) If chapter 253, Laws of 2018 has not been fully implemented by an agency, the barriers to implementation the agency has encountered and recommendations for removing the barriers to implementation;</w:t>
      </w:r>
    </w:p>
    <w:p>
      <w:pPr>
        <w:spacing w:before="0" w:after="0" w:line="408" w:lineRule="exact"/>
        <w:ind w:left="0" w:right="0" w:firstLine="576"/>
        <w:jc w:val="left"/>
      </w:pPr>
      <w:r>
        <w:rPr/>
        <w:t xml:space="preserve">(c) The impacts of the changes to the bargaining units for language access providers in chapter 253, Laws of 2018; and</w:t>
      </w:r>
    </w:p>
    <w:p>
      <w:pPr>
        <w:spacing w:before="0" w:after="0" w:line="408" w:lineRule="exact"/>
        <w:ind w:left="0" w:right="0" w:firstLine="576"/>
        <w:jc w:val="left"/>
      </w:pPr>
      <w:r>
        <w:rPr/>
        <w:t xml:space="preserve">(d) Recommendations on how to improve the procurement and accessibility of language access providers.</w:t>
      </w:r>
    </w:p>
    <w:p/>
    <w:p>
      <w:pPr>
        <w:jc w:val="center"/>
      </w:pPr>
      <w:r>
        <w:rPr>
          <w:b/>
        </w:rPr>
        <w:t>--- END ---</w:t>
      </w:r>
    </w:p>
    <w:sectPr>
      <w:pgNumType w:start="1"/>
      <w:footerReference xmlns:r="http://schemas.openxmlformats.org/officeDocument/2006/relationships" r:id="Rea5afd9a406048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63a5c7aa094c8e" /><Relationship Type="http://schemas.openxmlformats.org/officeDocument/2006/relationships/footer" Target="/word/footer1.xml" Id="Rea5afd9a40604825" /></Relationships>
</file>