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1c570455a4f46" /></Relationships>
</file>

<file path=word/document.xml><?xml version="1.0" encoding="utf-8"?>
<w:document xmlns:w="http://schemas.openxmlformats.org/wordprocessingml/2006/main">
  <w:body>
    <w:p>
      <w:r>
        <w:t>S-3448.4</w:t>
      </w:r>
    </w:p>
    <w:p>
      <w:pPr>
        <w:jc w:val="center"/>
      </w:pPr>
      <w:r>
        <w:t>_______________________________________________</w:t>
      </w:r>
    </w:p>
    <w:p/>
    <w:p>
      <w:pPr>
        <w:jc w:val="center"/>
      </w:pPr>
      <w:r>
        <w:rPr>
          <w:b/>
        </w:rPr>
        <w:t>SENATE BILL 5890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Hunt, Dhingra, Kuderer, Nguyen, Nobles, and Pedersen</w:t>
      </w:r>
    </w:p>
    <w:p/>
    <w:p>
      <w:r>
        <w:rPr>
          <w:t xml:space="preserve">Prefiled 12/20/23.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ballot rejection rates through updates to ballot curing, canvassing, reporting, and outreach processes; amending RCW 29A.60.165, 29A.40.091, 29A.60.140, 29A.08.210, and 29A.08.210; reenacting and amending RCW 29A.40.110; adding a new section to chapter 29A.08 RCW; adding new sections to chapter 29A.60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three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three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all languages required of state agencies.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libraries, other community locations throughout the county, and on the county's website.</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15, 2024.</w:t>
      </w:r>
    </w:p>
    <w:p/>
    <w:p>
      <w:pPr>
        <w:jc w:val="center"/>
      </w:pPr>
      <w:r>
        <w:rPr>
          <w:b/>
        </w:rPr>
        <w:t>--- END ---</w:t>
      </w:r>
    </w:p>
    <w:sectPr>
      <w:pgNumType w:start="1"/>
      <w:footerReference xmlns:r="http://schemas.openxmlformats.org/officeDocument/2006/relationships" r:id="Reeb83fa05c4041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b36a59987448d" /><Relationship Type="http://schemas.openxmlformats.org/officeDocument/2006/relationships/footer" Target="/word/footer1.xml" Id="Reeb83fa05c4041ef" /></Relationships>
</file>