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ef6846ddc74e17" /></Relationships>
</file>

<file path=word/document.xml><?xml version="1.0" encoding="utf-8"?>
<w:document xmlns:w="http://schemas.openxmlformats.org/wordprocessingml/2006/main">
  <w:body>
    <w:p>
      <w:r>
        <w:t>Z-0529.1</w:t>
      </w:r>
    </w:p>
    <w:p>
      <w:pPr>
        <w:jc w:val="center"/>
      </w:pPr>
      <w:r>
        <w:t>_______________________________________________</w:t>
      </w:r>
    </w:p>
    <w:p/>
    <w:p>
      <w:pPr>
        <w:jc w:val="center"/>
      </w:pPr>
      <w:r>
        <w:rPr>
          <w:b/>
        </w:rPr>
        <w:t>SENATE BILL 5914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Dhingra, Kuderer, Nobles, and Saldaña; by request of Office of Public Defense</w:t>
      </w:r>
    </w:p>
    <w:p/>
    <w:p>
      <w:r>
        <w:rPr>
          <w:t xml:space="preserve">Prefiled 12/28/23.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activities in which the office of public defense may engage without violating the prohibition on providing direct representation of clients; reenacting and amending RCW 2.70.020; and adding a new section to chapter 2.70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2023 c 261 s 2 and 2023 c 120 s 2 are each reenacted and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 and RCW 10.73.150;</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and</w:t>
      </w:r>
    </w:p>
    <w:p>
      <w:pPr>
        <w:spacing w:before="0" w:after="0" w:line="408" w:lineRule="exact"/>
        <w:ind w:left="0" w:right="0" w:firstLine="576"/>
        <w:jc w:val="left"/>
      </w:pPr>
      <w:r>
        <w:rPr/>
        <w:t xml:space="preserve">(g) Representation of indigent persons who are acquitted by reason of insanity and committed to state psychiatric care as provided in chapter 10.77 RCW;</w:t>
      </w:r>
    </w:p>
    <w:p>
      <w:pPr>
        <w:spacing w:before="0" w:after="0" w:line="408" w:lineRule="exact"/>
        <w:ind w:left="0" w:right="0" w:firstLine="576"/>
        <w:jc w:val="left"/>
      </w:pPr>
      <w:r>
        <w:rPr/>
        <w:t xml:space="preserve">(2) Subject to availability of funds appropriated for this specific purpose, provide access to counsel for indigent persons incarcerated in a juvenile rehabilitation or adult correctional facility to file and prosecute a first, timely personal restraint petition under RCW 10.73.150. The office shall establish eligibility criteria that prioritize access to counsel for youth under age 25, youth or adults with sentences in excess of 120 months, youth or adults with disabilities, and youth or adults with limited English proficiency. Nothing in this subsection creates an entitlement to counsel at state expense to file a personal restraint petition;</w:t>
      </w:r>
    </w:p>
    <w:p>
      <w:pPr>
        <w:spacing w:before="0" w:after="0" w:line="408" w:lineRule="exact"/>
        <w:ind w:left="0" w:right="0" w:firstLine="576"/>
        <w:jc w:val="left"/>
      </w:pPr>
      <w:r>
        <w:rPr/>
        <w:t xml:space="preserve">(3) Subject to the availability of funds appropriated for this specific purpose, appoint counsel to petition the sentencing court if the legislature creates an ability to petition the sentencing court, or appoint counsel to challenge a conviction or sentence if a final decision of an appellate court creates the ability to challenge a conviction or sentence. Nothing in this subsection creates an entitlement to counsel at state expense to petition the sentencing court;</w:t>
      </w:r>
    </w:p>
    <w:p>
      <w:pPr>
        <w:spacing w:before="0" w:after="0" w:line="408" w:lineRule="exact"/>
        <w:ind w:left="0" w:right="0" w:firstLine="576"/>
        <w:jc w:val="left"/>
      </w:pPr>
      <w:r>
        <w:rPr/>
        <w:t xml:space="preserve">(4) Provide access to attorneys for juveniles contacted by a law enforcement officer for whom a legal consultation is required under RCW 13.40.740;</w:t>
      </w:r>
    </w:p>
    <w:p>
      <w:pPr>
        <w:spacing w:before="0" w:after="0" w:line="408" w:lineRule="exact"/>
        <w:ind w:left="0" w:right="0" w:firstLine="576"/>
        <w:jc w:val="left"/>
      </w:pPr>
      <w:r>
        <w:rPr/>
        <w:t xml:space="preserve">(5) Submit a biennial budget for all costs related to the office's program areas;</w:t>
      </w:r>
    </w:p>
    <w:p>
      <w:pPr>
        <w:spacing w:before="0" w:after="0" w:line="408" w:lineRule="exact"/>
        <w:ind w:left="0" w:right="0" w:firstLine="576"/>
        <w:jc w:val="left"/>
      </w:pPr>
      <w:r>
        <w:rPr/>
        <w:t xml:space="preserve">(6)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rPr/>
        <w:t xml:space="preserve">(7) Provide oversight and technical assistance to ensure the effective and efficient delivery of services in the office's program areas;</w:t>
      </w:r>
    </w:p>
    <w:p>
      <w:pPr>
        <w:spacing w:before="0" w:after="0" w:line="408" w:lineRule="exact"/>
        <w:ind w:left="0" w:right="0" w:firstLine="576"/>
        <w:jc w:val="left"/>
      </w:pPr>
      <w:r>
        <w:rPr/>
        <w:t xml:space="preserve">(8)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rPr/>
        <w:t xml:space="preserve">(9)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rPr/>
        <w:t xml:space="preserve">(10) Coordinate with the supreme court and the judges of each division of the court of appeals to determine how appellate attorney services should be provided.</w:t>
      </w:r>
    </w:p>
    <w:p>
      <w:pPr>
        <w:spacing w:before="0" w:after="0" w:line="408" w:lineRule="exact"/>
        <w:ind w:left="0" w:right="0" w:firstLine="576"/>
        <w:jc w:val="left"/>
      </w:pPr>
      <w:r>
        <w:t>((</w:t>
      </w:r>
      <w:r>
        <w:rPr>
          <w:strike/>
        </w:rPr>
        <w:t xml:space="preserve">The office of public defense shall not provide direct representation of clients.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the office of public defense shall not provide direct representation of clients.</w:t>
      </w:r>
    </w:p>
    <w:p>
      <w:pPr>
        <w:spacing w:before="0" w:after="0" w:line="408" w:lineRule="exact"/>
        <w:ind w:left="0" w:right="0" w:firstLine="576"/>
        <w:jc w:val="left"/>
      </w:pPr>
      <w:r>
        <w:rPr/>
        <w:t xml:space="preserve">(2) In order to protect and preserve client rights when administering the office's statutory duties to provide initial telephonic or video consultation services, managing and supervising attorneys of the office of public defense who meet applicable public defense qualifications may provide limited short-term coverage for the consultation services if office of public defense contracted counsel is unavailable to provide the consultation services. The office shall provide services in a manner consistent with the rules of professional conduct, chapter 42.52 RCW, and applicable policies of the office of public defense.</w:t>
      </w:r>
    </w:p>
    <w:p>
      <w:pPr>
        <w:spacing w:before="0" w:after="0" w:line="408" w:lineRule="exact"/>
        <w:ind w:left="0" w:right="0" w:firstLine="576"/>
        <w:jc w:val="left"/>
      </w:pPr>
      <w:r>
        <w:rPr/>
        <w:t xml:space="preserve">(3) The office of public defense may coordinate with law schools to facilitate and supervise placement of law clerks, externs, and interns with office of public defense contracted counsel, in a manner consistent with the Washington admission and practice rules, the rules of professional conduct, chapter 42.52 RCW, and applicable policies of the office of public defense.</w:t>
      </w:r>
    </w:p>
    <w:p>
      <w:pPr>
        <w:spacing w:before="0" w:after="0" w:line="408" w:lineRule="exact"/>
        <w:ind w:left="0" w:right="0" w:firstLine="576"/>
        <w:jc w:val="left"/>
      </w:pPr>
      <w:r>
        <w:rPr/>
        <w:t xml:space="preserve">(4) Employees of the office of public defense may provide pro bono legal services in a manner consistent with the rules of professional conduct, chapter 42.52 RCW, and applicable policies of the office of public defense.</w:t>
      </w:r>
    </w:p>
    <w:p/>
    <w:p>
      <w:pPr>
        <w:jc w:val="center"/>
      </w:pPr>
      <w:r>
        <w:rPr>
          <w:b/>
        </w:rPr>
        <w:t>--- END ---</w:t>
      </w:r>
    </w:p>
    <w:sectPr>
      <w:pgNumType w:start="1"/>
      <w:footerReference xmlns:r="http://schemas.openxmlformats.org/officeDocument/2006/relationships" r:id="R2ba94feb329049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3cd947722941d4" /><Relationship Type="http://schemas.openxmlformats.org/officeDocument/2006/relationships/footer" Target="/word/footer1.xml" Id="R2ba94feb32904991" /></Relationships>
</file>