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f7b917f5b84bd6" /></Relationships>
</file>

<file path=word/document.xml><?xml version="1.0" encoding="utf-8"?>
<w:document xmlns:w="http://schemas.openxmlformats.org/wordprocessingml/2006/main">
  <w:body>
    <w:p>
      <w:r>
        <w:t>S-3713.1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5958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68th Legislature</w:t>
        <w:tab/>
      </w:r>
      <w:r>
        <w:rPr>
          <w:b/>
        </w:rPr>
        <w:t>2024 Regular Session</w:t>
      </w:r>
    </w:p>
    <w:p/>
    <w:p>
      <w:r>
        <w:rPr>
          <w:b/>
        </w:rPr>
        <w:t xml:space="preserve">By </w:t>
      </w:r>
      <w:r>
        <w:t>Senators Boehnke, Dozier, Torres, and C. Wilson</w:t>
      </w:r>
    </w:p>
    <w:p/>
    <w:p>
      <w:r>
        <w:rPr>
          <w:t xml:space="preserve">Prefiled 01/03/24.</w:t>
        </w:rPr>
      </w:r>
      <w:r>
        <w:rPr>
          <w:t xml:space="preserve">Read first time 01/08/24.  </w:t>
        </w:rPr>
      </w:r>
      <w:r>
        <w:rPr>
          <w:t xml:space="preserve">Referred to Committee on Higher Education &amp; Workforce Development.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establishing the Washington career skills grant program; adding new sections to chapter 43.131 RCW; and adding a new chapter to Title 28B RCW.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The definitions in this section apply throughout this chapter unless the context clearly requires otherwise.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"Eligible student" means a student who: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Is a resident student, as defined in RCW 28B.15.012;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Is enrolled in a short-term workforce credential in an in-demand industry;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(c) Is enrolled in a noncredit bearing educational program that is ineligible for federal or state financial aid;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(d) Has not yet earned a baccalaureate degree.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"In-demand industry" means an industry with a nexus to the retail sector.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"Institutions of higher education" has the same meaning as in RCW 28B.92.030.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(4) "Office" means the office of student financial assistance.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(5) "Program" means the Washington career skills grant program.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(6) "Short-term workforce credential" means a high quality noncredit-bearing short-term workforce credential as determined by the office with a clear workforce benefit. The credential must be able to be completed in 12 months or less.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(1) The Washington career skills grant program is established for the purpose of incentivizing the creation of short-term and micro credentialing opportunities and programs relevant to the retail sector by providing grants to eligible students enrolled in these high quality short-term workforce credential programs.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The office shall administer the program. In administering the program, the office's powers and duties may include, but are not limited to: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Establishing a grant maximum, not to exceed the maximum Washington college grant as defined in RCW 28B.92.030, plus $500 for books and supplies;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Developing a process for collecting the necessary data to evaluate the effectiveness of the program. This may include entering into data-sharing agreements with the participating institutions of higher education, program participants, the education research and data center, and the employment security department to monitor program participant outcomes;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(c) Adopting the rules necessary to carry out the program.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(1) Subject to amounts appropriated specifically for this purpose, the office may award program grant funds to eligible students. Grants may not: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Exceed the grant maximum established by the office;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Exceed the student's cost of attendance, when combined with all other public and private grants, scholarships, and waiver assistance the student receives;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(c) Extend beyond one year or 125 percent of the published program length.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Students and participating institutions of higher education must comply with all the rules adopted by the office for the administration of this chapter.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Beginning October 1, 2025, and in compliance with RCW 43.01.036, the office shall annually report to the appropriate committees of the legislature the following: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The names of each participating institution of higher education and the eligible short-term workforce credentials at each participating institution;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The number of students eligible and the number of students who participated in the program each academic year along with student demographic characteristics;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Data on program completion and credential attainment by students who participated in the grant program;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(4) Precredential and postcredential completion wage data for program participants.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Sections 1 through 4 of this act constitute a new chapter in </w:t>
      </w:r>
      <w:r>
        <w:rPr/>
        <w:t xml:space="preserve">Title </w:t>
      </w:r>
      <w:r>
        <w:t xml:space="preserve">28B</w:t>
      </w:r>
      <w:r>
        <w:rPr/>
        <w:t xml:space="preserve"> RCW</w:t>
      </w:r>
      <w:r>
        <w:rPr/>
        <w:t xml:space="preserve">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43</w:t>
      </w:r>
      <w:r>
        <w:rPr/>
        <w:t xml:space="preserve">.</w:t>
      </w:r>
      <w:r>
        <w:t xml:space="preserve">131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The Washington career skills grant program is terminated July 1, 2029, as provided in section 7 of this act.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43</w:t>
      </w:r>
      <w:r>
        <w:rPr/>
        <w:t xml:space="preserve">.</w:t>
      </w:r>
      <w:r>
        <w:t xml:space="preserve">131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The following acts or parts of acts, as now existing or hereafter amended, are each repealed, effective July 1, 2030: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RCW 28B.--.--- and 2024 c . . . s 1 (section 1 of this act);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RCW 28B.--.--- and 2024 c . . . s 2 (section 2 of this act);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RCW 28B.--.--- and 2024 c . . . s 3 (section 3 of this act);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(4) RCW 28B.--.--- and 2024 c . . . s 4 (section 4 of this act).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cf600d5002374387"/>
      <w:pgMar w:top="720" w:right="1008" w:bottom="475" w:left="129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5958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04933b824d41ec" /><Relationship Type="http://schemas.openxmlformats.org/officeDocument/2006/relationships/footer" Target="/word/footer1.xml" Id="Rcf600d5002374387" /></Relationships>
</file>