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0dc260682400b" /></Relationships>
</file>

<file path=word/document.xml><?xml version="1.0" encoding="utf-8"?>
<w:document xmlns:w="http://schemas.openxmlformats.org/wordprocessingml/2006/main">
  <w:body>
    <w:p>
      <w:r>
        <w:t>S-3858.1</w:t>
      </w:r>
    </w:p>
    <w:p>
      <w:pPr>
        <w:jc w:val="center"/>
      </w:pPr>
      <w:r>
        <w:t>_______________________________________________</w:t>
      </w:r>
    </w:p>
    <w:p/>
    <w:p>
      <w:pPr>
        <w:jc w:val="center"/>
      </w:pPr>
      <w:r>
        <w:rPr>
          <w:b/>
        </w:rPr>
        <w:t>SENATE BILL 6019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Braun, Frame, and Short</w:t>
      </w:r>
    </w:p>
    <w:p/>
    <w:p>
      <w:r>
        <w:rPr>
          <w:t xml:space="preserve">Prefiled 01/05/24.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prescriptive authority for pharmacists; amending RCW 18.64.011 and 69.41.030; reenacting and amending RCW 69.50.101; adding a new section to chapter 18.64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w:t>
      </w:r>
      <w:r>
        <w:rPr>
          <w:u w:val="single"/>
        </w:rPr>
        <w:t xml:space="preserve">the prescribing and ordering of drugs and devices as authorized by the commission in rule;</w:t>
      </w:r>
      <w:r>
        <w:rPr/>
        <w:t xml:space="preserve">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By July 1, 2026, the commission shall adopt rules identifying specific drugs and devices, types or classes of drugs and devices, or both, that a pharmacist may prescribe in the absence of written guidelines or protocols previously established and approved for the pharmacist's practice by a practitioner authorized to prescribe drugs. The rules may also establish the types of patients or circumstances in which a pharmacist may or may not prescribe or order drugs or devices and any required education, training, or continuing education that must be completed prior to prescribing or ordering drugs or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2023 1st sp.s. c 1 s 4 are each amended to read as follows:</w:t>
      </w:r>
    </w:p>
    <w:p>
      <w:pPr>
        <w:spacing w:before="0" w:after="0" w:line="408" w:lineRule="exact"/>
        <w:ind w:left="0" w:right="0" w:firstLine="576"/>
        <w:jc w:val="left"/>
      </w:pPr>
      <w:r>
        <w:rPr/>
        <w:t xml:space="preserve">(1) It shall be unlawful for any person to sell or deliver any legend drug, or knowingly possess any legend drug, or knowingly use any legend drug in a public place,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w:t>
      </w:r>
      <w:r>
        <w:t>((</w:t>
      </w:r>
      <w:r>
        <w:rPr>
          <w:strike/>
        </w:rPr>
        <w:t xml:space="preserve">nursing care quality assurance commission</w:t>
      </w:r>
      <w:r>
        <w:t>))</w:t>
      </w:r>
      <w:r>
        <w:rPr/>
        <w:t xml:space="preserve"> </w:t>
      </w:r>
      <w:r>
        <w:rPr>
          <w:u w:val="single"/>
        </w:rPr>
        <w:t xml:space="preserve">board of nursing</w:t>
      </w:r>
      <w:r>
        <w:rPr/>
        <w:t xml:space="preserve">, a pharmacist licensed under chapter 18.64 RCW to the extent permitted </w:t>
      </w:r>
      <w:r>
        <w:t>((</w:t>
      </w:r>
      <w:r>
        <w:rPr>
          <w:strike/>
        </w:rPr>
        <w:t xml:space="preserve">by drug therapy guidelines or protocols established under RCW 18.64.011 and authorized by the commission and approved by a practitioner authorized to prescribe drugs</w:t>
      </w:r>
      <w:r>
        <w:t>))</w:t>
      </w:r>
      <w:r>
        <w:rPr/>
        <w:t xml:space="preserve"> </w:t>
      </w:r>
      <w:r>
        <w:rPr>
          <w:u w:val="single"/>
        </w:rPr>
        <w:t xml:space="preserve">under chapter 18.64 RCW or when authorized by the commission</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knowing possession is a misdemeanor. The prosecutor is encouraged to divert such cases for assessment, treatment, or other services.</w:t>
      </w:r>
    </w:p>
    <w:p>
      <w:pPr>
        <w:spacing w:before="0" w:after="0" w:line="408" w:lineRule="exact"/>
        <w:ind w:left="0" w:right="0" w:firstLine="576"/>
        <w:jc w:val="left"/>
      </w:pPr>
      <w:r>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 a</w:t>
      </w:r>
      <w:r>
        <w:t>))</w:t>
      </w:r>
      <w:r>
        <w:rPr/>
        <w:t xml:space="preserve"> </w:t>
      </w:r>
      <w:r>
        <w:rPr>
          <w:u w:val="single"/>
        </w:rPr>
        <w:t xml:space="preserve">(a) A</w:t>
      </w:r>
      <w:r>
        <w:rPr/>
        <w:t xml:space="preserve"> practitioner authorized to prescribe (or, by the practitioner's authorized agent); or</w:t>
      </w:r>
    </w:p>
    <w:p>
      <w:pPr>
        <w:spacing w:before="0" w:after="0" w:line="408" w:lineRule="exact"/>
        <w:ind w:left="0" w:right="0" w:firstLine="576"/>
        <w:jc w:val="left"/>
      </w:pPr>
      <w:r>
        <w:t>((</w:t>
      </w:r>
      <w:r>
        <w:rPr>
          <w:strike/>
        </w:rPr>
        <w:t xml:space="preserve">(2) [(b)] the</w:t>
      </w:r>
      <w:r>
        <w:t>))</w:t>
      </w:r>
      <w:r>
        <w:rPr/>
        <w:t xml:space="preserve"> </w:t>
      </w:r>
      <w:r>
        <w:rPr>
          <w:u w:val="single"/>
        </w:rPr>
        <w:t xml:space="preserve">(b) The</w:t>
      </w:r>
      <w:r>
        <w:rPr/>
        <w:t xml:space="preserv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 that</w:t>
      </w:r>
      <w:r>
        <w:t>))</w:t>
      </w:r>
      <w:r>
        <w:rPr/>
        <w:t xml:space="preserve"> </w:t>
      </w:r>
      <w:r>
        <w:rPr>
          <w:u w:val="single"/>
        </w:rPr>
        <w:t xml:space="preserve">(a) That</w:t>
      </w:r>
      <w:r>
        <w:rPr/>
        <w:t xml:space="preserve">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 that</w:t>
      </w:r>
      <w:r>
        <w:t>))</w:t>
      </w:r>
      <w:r>
        <w:rPr/>
        <w:t xml:space="preserve"> </w:t>
      </w:r>
      <w:r>
        <w:rPr>
          <w:u w:val="single"/>
        </w:rPr>
        <w:t xml:space="preserve">(b) That</w:t>
      </w:r>
      <w:r>
        <w:rPr/>
        <w:t xml:space="preserve">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 the</w:t>
      </w:r>
      <w:r>
        <w:t>))</w:t>
      </w:r>
      <w:r>
        <w:rPr/>
        <w:t xml:space="preserve"> </w:t>
      </w:r>
      <w:r>
        <w:rPr>
          <w:u w:val="single"/>
        </w:rPr>
        <w:t xml:space="preserve">(c) The</w:t>
      </w:r>
      <w:r>
        <w:rPr/>
        <w:t xml:space="preserv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 by</w:t>
      </w:r>
      <w:r>
        <w:t>))</w:t>
      </w:r>
      <w:r>
        <w:rPr/>
        <w:t xml:space="preserve"> </w:t>
      </w:r>
      <w:r>
        <w:rPr>
          <w:u w:val="single"/>
        </w:rPr>
        <w:t xml:space="preserve">(a) By</w:t>
      </w:r>
      <w:r>
        <w:rPr/>
        <w:t xml:space="preserve">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 by</w:t>
      </w:r>
      <w:r>
        <w:t>))</w:t>
      </w:r>
      <w:r>
        <w:rPr/>
        <w:t xml:space="preserve"> </w:t>
      </w:r>
      <w:r>
        <w:rPr>
          <w:u w:val="single"/>
        </w:rPr>
        <w:t xml:space="preserve">(b) By</w:t>
      </w:r>
      <w:r>
        <w:rPr/>
        <w:t xml:space="preserve">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w:t>
      </w:r>
      <w:r>
        <w:rPr>
          <w:u w:val="single"/>
        </w:rPr>
        <w:t xml:space="preserve">subject to any limitations in RCW 18.64.011, section 2 of this act, and rules adopted by the commission;</w:t>
      </w:r>
      <w:r>
        <w:rPr/>
        <w:t xml:space="preserve">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take effect July 1, 2026.</w:t>
      </w:r>
    </w:p>
    <w:p/>
    <w:p>
      <w:pPr>
        <w:jc w:val="center"/>
      </w:pPr>
      <w:r>
        <w:rPr>
          <w:b/>
        </w:rPr>
        <w:t>--- END ---</w:t>
      </w:r>
    </w:p>
    <w:sectPr>
      <w:pgNumType w:start="1"/>
      <w:footerReference xmlns:r="http://schemas.openxmlformats.org/officeDocument/2006/relationships" r:id="Ra7a6dacb047c41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5ad62344641c0" /><Relationship Type="http://schemas.openxmlformats.org/officeDocument/2006/relationships/footer" Target="/word/footer1.xml" Id="Ra7a6dacb047c41c0" /></Relationships>
</file>