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a33af985d4ebb" /></Relationships>
</file>

<file path=word/document.xml><?xml version="1.0" encoding="utf-8"?>
<w:document xmlns:w="http://schemas.openxmlformats.org/wordprocessingml/2006/main">
  <w:body>
    <w:p>
      <w:r>
        <w:t>Z-0582.1</w:t>
      </w:r>
    </w:p>
    <w:p>
      <w:pPr>
        <w:jc w:val="center"/>
      </w:pPr>
      <w:r>
        <w:t>_______________________________________________</w:t>
      </w:r>
    </w:p>
    <w:p/>
    <w:p>
      <w:pPr>
        <w:jc w:val="center"/>
      </w:pPr>
      <w:r>
        <w:rPr>
          <w:b/>
        </w:rPr>
        <w:t>SENATE BILL 6098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Robinson and Nguyen; by request of Office of Financial Management</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82.45.240 and 27.34.400; reenacting and amending RCW 43.79A.040, 43.79A.040, 43.84.092, and 43.84.092; adding a new section to chapter 41.05 RCW; adding a new section to chapter 70A.535 RCW; creating new sections; repealing RCW 43.83.330, 43.83.350, 27.34.410, 43.79.487, 70A.305.140, 43.79.530, 43.41.444, and 43.79.515;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240</w:t>
      </w:r>
      <w:r>
        <w:rPr/>
        <w:t xml:space="preserve"> and 2023 c 337 s 9 are each amended to read as follows:</w:t>
      </w:r>
    </w:p>
    <w:p>
      <w:pPr>
        <w:spacing w:before="0" w:after="0" w:line="408" w:lineRule="exact"/>
        <w:ind w:left="0" w:right="0" w:firstLine="576"/>
        <w:jc w:val="left"/>
      </w:pPr>
      <w:r>
        <w:rPr/>
        <w:t xml:space="preserve">(1) The down payment assistance account is created in the custody of the state treasurer. Receipts from the real estate excise tax on sales of condominiums or townhouses to persons using a down payment assistance program offered by the Washington state housing finance commission must be deposited in the account, as provided in subsection (2) of this section. Expenditures from the account may be used only for payment toward a person's down payment assistance loan that was used to purchase a condominium or townhouse for which the tax was collected. Only the </w:t>
      </w:r>
      <w:r>
        <w:t>((</w:t>
      </w:r>
      <w:r>
        <w:rPr>
          <w:strike/>
        </w:rPr>
        <w:t xml:space="preserve">Washington state housing finance commission</w:t>
      </w:r>
      <w:r>
        <w:t>))</w:t>
      </w:r>
      <w:r>
        <w:rPr/>
        <w:t xml:space="preserve"> </w:t>
      </w:r>
      <w:r>
        <w:rPr>
          <w:u w:val="single"/>
        </w:rPr>
        <w:t xml:space="preserve">director of the department of commerce</w:t>
      </w:r>
      <w:r>
        <w:rPr/>
        <w:t xml:space="preserve"> or the </w:t>
      </w:r>
      <w:r>
        <w:t>((</w:t>
      </w:r>
      <w:r>
        <w:rPr>
          <w:strike/>
        </w:rPr>
        <w:t xml:space="preserve">commission's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(2)(a) Beginning June 15, 2024, and each June 15th thereafter, the department must notify the economic and revenue forecast council of the total amount received under RCW 82.45.060 from sales of condominiums or townhouses to persons using a down payment assistance program offered by the Washington state housing finance commission during the prior calendar year.</w:t>
      </w:r>
    </w:p>
    <w:p>
      <w:pPr>
        <w:spacing w:before="0" w:after="0" w:line="408" w:lineRule="exact"/>
        <w:ind w:left="0" w:right="0" w:firstLine="576"/>
        <w:jc w:val="left"/>
      </w:pPr>
      <w:r>
        <w:rPr/>
        <w:t xml:space="preserve">(b) Beginning in fiscal year 2025, and each fiscal year thereafter, the legislature must appropriate from the general fund to this account the lesser of (i) the amount received under RCW 82.45.060 on sales of condominiums or townhouses to persons using a down payment assistance program offered by the Washington state housing finance commission during the prior calendar year, as determined under (a) of this subsection, or (ii) $250,000 per fiscal year.</w:t>
      </w:r>
    </w:p>
    <w:p>
      <w:pPr>
        <w:spacing w:before="0" w:after="0" w:line="408" w:lineRule="exact"/>
        <w:ind w:left="0" w:right="0" w:firstLine="576"/>
        <w:jc w:val="left"/>
      </w:pPr>
      <w:r>
        <w:rPr/>
        <w:t xml:space="preserve">(c) On or before March 1, 2024, and each March 1st thereafter, the Washington state housing finance commission must provide the department with the following information for each sale of a condominium or townhouse to a person using a down payment assistance program offered by the Washington state housing finance commission that occurred during the prior calendar year:</w:t>
      </w:r>
    </w:p>
    <w:p>
      <w:pPr>
        <w:spacing w:before="0" w:after="0" w:line="408" w:lineRule="exact"/>
        <w:ind w:left="0" w:right="0" w:firstLine="576"/>
        <w:jc w:val="left"/>
      </w:pPr>
      <w:r>
        <w:rPr/>
        <w:t xml:space="preserve">(i) The real estate excise tax affidavit number associated with the sale;</w:t>
      </w:r>
    </w:p>
    <w:p>
      <w:pPr>
        <w:spacing w:before="0" w:after="0" w:line="408" w:lineRule="exact"/>
        <w:ind w:left="0" w:right="0" w:firstLine="576"/>
        <w:jc w:val="left"/>
      </w:pPr>
      <w:r>
        <w:rPr/>
        <w:t xml:space="preserve">(ii) The date of sale;</w:t>
      </w:r>
    </w:p>
    <w:p>
      <w:pPr>
        <w:spacing w:before="0" w:after="0" w:line="408" w:lineRule="exact"/>
        <w:ind w:left="0" w:right="0" w:firstLine="576"/>
        <w:jc w:val="left"/>
      </w:pPr>
      <w:r>
        <w:rPr/>
        <w:t xml:space="preserve">(iii) The parcel number of the property sold;</w:t>
      </w:r>
    </w:p>
    <w:p>
      <w:pPr>
        <w:spacing w:before="0" w:after="0" w:line="408" w:lineRule="exact"/>
        <w:ind w:left="0" w:right="0" w:firstLine="576"/>
        <w:jc w:val="left"/>
      </w:pPr>
      <w:r>
        <w:rPr/>
        <w:t xml:space="preserve">(iv) The street address of the property sold;</w:t>
      </w:r>
    </w:p>
    <w:p>
      <w:pPr>
        <w:spacing w:before="0" w:after="0" w:line="408" w:lineRule="exact"/>
        <w:ind w:left="0" w:right="0" w:firstLine="576"/>
        <w:jc w:val="left"/>
      </w:pPr>
      <w:r>
        <w:rPr/>
        <w:t xml:space="preserve">(v) The county in which the property sold is located;</w:t>
      </w:r>
    </w:p>
    <w:p>
      <w:pPr>
        <w:spacing w:before="0" w:after="0" w:line="408" w:lineRule="exact"/>
        <w:ind w:left="0" w:right="0" w:firstLine="576"/>
        <w:jc w:val="left"/>
      </w:pPr>
      <w:r>
        <w:rPr/>
        <w:t xml:space="preserve">(vi) The full legal name of the seller, or sellers, as shown on the real estate excise tax affidavit;</w:t>
      </w:r>
    </w:p>
    <w:p>
      <w:pPr>
        <w:spacing w:before="0" w:after="0" w:line="408" w:lineRule="exact"/>
        <w:ind w:left="0" w:right="0" w:firstLine="576"/>
        <w:jc w:val="left"/>
      </w:pPr>
      <w:r>
        <w:rPr/>
        <w:t xml:space="preserve">(vii) The full legal name of the buyer, or buyers, as shown on the real estate excise tax affidavit; and</w:t>
      </w:r>
    </w:p>
    <w:p>
      <w:pPr>
        <w:spacing w:before="0" w:after="0" w:line="408" w:lineRule="exact"/>
        <w:ind w:left="0" w:right="0" w:firstLine="576"/>
        <w:jc w:val="left"/>
      </w:pPr>
      <w:r>
        <w:rPr/>
        <w:t xml:space="preserve">(viii) Any additional information the department may require to verify the property sold is a condominium or townhouse sold to persons using a down payment assistance program offered by the Washington state housing finance commission.</w:t>
      </w:r>
    </w:p>
    <w:p>
      <w:pPr>
        <w:spacing w:before="0" w:after="0" w:line="408" w:lineRule="exact"/>
        <w:ind w:left="0" w:right="0" w:firstLine="576"/>
        <w:jc w:val="left"/>
      </w:pPr>
      <w:r>
        <w:rPr/>
        <w:t xml:space="preserve">(d) For the purposes of this subsection, "townhouse"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83</w:t>
      </w:r>
      <w:r>
        <w:rPr/>
        <w:t xml:space="preserve">.</w:t>
      </w:r>
      <w:r>
        <w:t xml:space="preserve">330</w:t>
      </w:r>
      <w:r>
        <w:rPr/>
        <w:t xml:space="preserve"> (State and local improvements revolving account</w:t>
      </w:r>
      <w:r>
        <w:rPr>
          <w:rFonts w:ascii="Times New Roman" w:hAnsi="Times New Roman"/>
        </w:rPr>
        <w:t xml:space="preserve">—</w:t>
      </w:r>
      <w:r>
        <w:rPr/>
        <w:t xml:space="preserve">Definitions) and 2015 1st sp.s. c 4 s 34, 1991 sp.s. c 13 s 43, 1985 c 57 s 44, &amp; 1972 ex.s. c 127 s 3;</w:t>
      </w:r>
    </w:p>
    <w:p>
      <w:pPr>
        <w:spacing w:before="0" w:after="0" w:line="408" w:lineRule="exact"/>
        <w:ind w:left="0" w:right="0" w:firstLine="576"/>
        <w:jc w:val="left"/>
      </w:pPr>
      <w:r>
        <w:t xml:space="preserve">(2) </w:t>
      </w:r>
      <w:r>
        <w:rPr/>
        <w:t xml:space="preserve">RCW </w:t>
      </w:r>
      <w:r>
        <w:t xml:space="preserve">43</w:t>
      </w:r>
      <w:r>
        <w:rPr/>
        <w:t xml:space="preserve">.</w:t>
      </w:r>
      <w:r>
        <w:t xml:space="preserve">83</w:t>
      </w:r>
      <w:r>
        <w:rPr/>
        <w:t xml:space="preserve">.</w:t>
      </w:r>
      <w:r>
        <w:t xml:space="preserve">350</w:t>
      </w:r>
      <w:r>
        <w:rPr/>
        <w:t xml:space="preserve"> (State and local improvements revolving account, Waste Disposal Facilities, 1980</w:t>
      </w:r>
      <w:r>
        <w:rPr>
          <w:rFonts w:ascii="Times New Roman" w:hAnsi="Times New Roman"/>
        </w:rPr>
        <w:t xml:space="preserve">—</w:t>
      </w:r>
      <w:r>
        <w:rPr/>
        <w:t xml:space="preserve">Definitions) and 2021 c 65 s 46, 2015 1st sp.s. c 4 s 40, 1991 sp.s. c 13 s 44, 1985 c 57 s 56, &amp; 1980 c 159 s 3;</w:t>
      </w:r>
    </w:p>
    <w:p>
      <w:pPr>
        <w:spacing w:before="0" w:after="0" w:line="408" w:lineRule="exact"/>
        <w:ind w:left="0" w:right="0" w:firstLine="576"/>
        <w:jc w:val="left"/>
      </w:pPr>
      <w:r>
        <w:t xml:space="preserve">(3) </w:t>
      </w:r>
      <w:r>
        <w:rPr/>
        <w:t xml:space="preserve">RCW </w:t>
      </w:r>
      <w:r>
        <w:t xml:space="preserve">27</w:t>
      </w:r>
      <w:r>
        <w:rPr/>
        <w:t xml:space="preserve">.</w:t>
      </w:r>
      <w:r>
        <w:t xml:space="preserve">34</w:t>
      </w:r>
      <w:r>
        <w:rPr/>
        <w:t xml:space="preserve">.</w:t>
      </w:r>
      <w:r>
        <w:t xml:space="preserve">410</w:t>
      </w:r>
      <w:r>
        <w:rPr/>
        <w:t xml:space="preserve"> (Heritage barn preservation fund) and 2015 c 225 s 24 &amp; 2007 c 333 s 4;</w:t>
      </w:r>
    </w:p>
    <w:p>
      <w:pPr>
        <w:spacing w:before="0" w:after="0" w:line="408" w:lineRule="exact"/>
        <w:ind w:left="0" w:right="0" w:firstLine="576"/>
        <w:jc w:val="left"/>
      </w:pPr>
      <w:r>
        <w:t xml:space="preserve">(4) </w:t>
      </w:r>
      <w:r>
        <w:rPr/>
        <w:t xml:space="preserve">RCW </w:t>
      </w:r>
      <w:r>
        <w:t xml:space="preserve">43</w:t>
      </w:r>
      <w:r>
        <w:rPr/>
        <w:t xml:space="preserve">.</w:t>
      </w:r>
      <w:r>
        <w:t xml:space="preserve">79</w:t>
      </w:r>
      <w:r>
        <w:rPr/>
        <w:t xml:space="preserve">.</w:t>
      </w:r>
      <w:r>
        <w:t xml:space="preserve">487</w:t>
      </w:r>
      <w:r>
        <w:rPr/>
        <w:t xml:space="preserve"> (Basic health plan stabilization account) and 2011 c 5 s 711;</w:t>
      </w:r>
    </w:p>
    <w:p>
      <w:pPr>
        <w:spacing w:before="0" w:after="0" w:line="408" w:lineRule="exact"/>
        <w:ind w:left="0" w:right="0" w:firstLine="576"/>
        <w:jc w:val="left"/>
      </w:pPr>
      <w:r>
        <w:t xml:space="preserve">(5) </w:t>
      </w:r>
      <w:r>
        <w:rPr/>
        <w:t xml:space="preserve">RCW </w:t>
      </w:r>
      <w:r>
        <w:t xml:space="preserve">70A</w:t>
      </w:r>
      <w:r>
        <w:rPr/>
        <w:t xml:space="preserve">.</w:t>
      </w:r>
      <w:r>
        <w:t xml:space="preserve">305</w:t>
      </w:r>
      <w:r>
        <w:rPr/>
        <w:t xml:space="preserve">.</w:t>
      </w:r>
      <w:r>
        <w:t xml:space="preserve">140</w:t>
      </w:r>
      <w:r>
        <w:rPr/>
        <w:t xml:space="preserve"> (Brownfield redevelopment trust fund account</w:t>
      </w:r>
      <w:r>
        <w:rPr>
          <w:rFonts w:ascii="Times New Roman" w:hAnsi="Times New Roman"/>
        </w:rPr>
        <w:t xml:space="preserve">—</w:t>
      </w:r>
      <w:r>
        <w:rPr/>
        <w:t xml:space="preserve">Created</w:t>
      </w:r>
      <w:r>
        <w:rPr>
          <w:rFonts w:ascii="Times New Roman" w:hAnsi="Times New Roman"/>
        </w:rPr>
        <w:t xml:space="preserve">—</w:t>
      </w:r>
      <w:r>
        <w:rPr/>
        <w:t xml:space="preserve">Report to the office of financial management and the legislature</w:t>
      </w:r>
      <w:r>
        <w:rPr>
          <w:rFonts w:ascii="Times New Roman" w:hAnsi="Times New Roman"/>
        </w:rPr>
        <w:t xml:space="preserve">—</w:t>
      </w:r>
      <w:r>
        <w:rPr/>
        <w:t xml:space="preserve">Rules) and 2020 c 20 s 1316, 2019 c 422 s 414, &amp; 2013 2nd sp.s. c 1 s 3;</w:t>
      </w:r>
    </w:p>
    <w:p>
      <w:pPr>
        <w:spacing w:before="0" w:after="0" w:line="408" w:lineRule="exact"/>
        <w:ind w:left="0" w:right="0" w:firstLine="576"/>
        <w:jc w:val="left"/>
      </w:pPr>
      <w:r>
        <w:t xml:space="preserve">(6) </w:t>
      </w:r>
      <w:r>
        <w:rPr/>
        <w:t xml:space="preserve">RCW </w:t>
      </w:r>
      <w:r>
        <w:t xml:space="preserve">43</w:t>
      </w:r>
      <w:r>
        <w:rPr/>
        <w:t xml:space="preserve">.</w:t>
      </w:r>
      <w:r>
        <w:t xml:space="preserve">79</w:t>
      </w:r>
      <w:r>
        <w:rPr/>
        <w:t xml:space="preserve">.</w:t>
      </w:r>
      <w:r>
        <w:t xml:space="preserve">530</w:t>
      </w:r>
      <w:r>
        <w:rPr/>
        <w:t xml:space="preserve"> (Dairy nutrient infrastructure account) and 2016 sp.s. c 35 s 6016;</w:t>
      </w:r>
    </w:p>
    <w:p>
      <w:pPr>
        <w:spacing w:before="0" w:after="0" w:line="408" w:lineRule="exact"/>
        <w:ind w:left="0" w:right="0" w:firstLine="576"/>
        <w:jc w:val="left"/>
      </w:pPr>
      <w:r>
        <w:t xml:space="preserve">(7) </w:t>
      </w:r>
      <w:r>
        <w:rPr/>
        <w:t xml:space="preserve">RCW </w:t>
      </w:r>
      <w:r>
        <w:t xml:space="preserve">43</w:t>
      </w:r>
      <w:r>
        <w:rPr/>
        <w:t xml:space="preserve">.</w:t>
      </w:r>
      <w:r>
        <w:t xml:space="preserve">41</w:t>
      </w:r>
      <w:r>
        <w:rPr/>
        <w:t xml:space="preserve">.</w:t>
      </w:r>
      <w:r>
        <w:t xml:space="preserve">444</w:t>
      </w:r>
      <w:r>
        <w:rPr/>
        <w:t xml:space="preserve"> (Shared information technology system revolving account</w:t>
      </w:r>
      <w:r>
        <w:rPr>
          <w:rFonts w:ascii="Times New Roman" w:hAnsi="Times New Roman"/>
        </w:rPr>
        <w:t xml:space="preserve">—</w:t>
      </w:r>
      <w:r>
        <w:rPr/>
        <w:t xml:space="preserve">Contracts for administration, development, maintenance, and operations of shared information technology systems</w:t>
      </w:r>
      <w:r>
        <w:rPr>
          <w:rFonts w:ascii="Times New Roman" w:hAnsi="Times New Roman"/>
        </w:rPr>
        <w:t xml:space="preserve">—</w:t>
      </w:r>
      <w:r>
        <w:rPr/>
        <w:t xml:space="preserve">"Shared information technology system" defined) and 2015 3rd sp.s. c 1 s 504; and</w:t>
      </w:r>
    </w:p>
    <w:p>
      <w:pPr>
        <w:spacing w:before="0" w:after="0" w:line="408" w:lineRule="exact"/>
        <w:ind w:left="0" w:right="0" w:firstLine="576"/>
        <w:jc w:val="left"/>
      </w:pPr>
      <w:r>
        <w:t xml:space="preserve">(8) </w:t>
      </w:r>
      <w:r>
        <w:rPr/>
        <w:t xml:space="preserve">RCW </w:t>
      </w:r>
      <w:r>
        <w:t xml:space="preserve">43</w:t>
      </w:r>
      <w:r>
        <w:rPr/>
        <w:t xml:space="preserve">.</w:t>
      </w:r>
      <w:r>
        <w:t xml:space="preserve">79</w:t>
      </w:r>
      <w:r>
        <w:rPr/>
        <w:t xml:space="preserve">.</w:t>
      </w:r>
      <w:r>
        <w:t xml:space="preserve">515</w:t>
      </w:r>
      <w:r>
        <w:rPr/>
        <w:t xml:space="preserve"> (State efficiency and restructuring account) and 2010 1st sp.s. c 37 s 946.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400</w:t>
      </w:r>
      <w:r>
        <w:rPr/>
        <w:t xml:space="preserve"> and 2007 c 333 s 2 are each amended to read as follows:</w:t>
      </w:r>
    </w:p>
    <w:p>
      <w:pPr>
        <w:spacing w:before="0" w:after="0" w:line="408" w:lineRule="exact"/>
        <w:ind w:left="0" w:right="0" w:firstLine="576"/>
        <w:jc w:val="left"/>
      </w:pPr>
      <w:r>
        <w:rPr/>
        <w:t xml:space="preserve">(1) The Washington state heritage barn preservation program is created in the department.</w:t>
      </w:r>
    </w:p>
    <w:p>
      <w:pPr>
        <w:spacing w:before="0" w:after="0" w:line="408" w:lineRule="exact"/>
        <w:ind w:left="0" w:right="0" w:firstLine="576"/>
        <w:jc w:val="left"/>
      </w:pPr>
      <w:r>
        <w:rPr/>
        <w:t xml:space="preserve">(2) The director, in consultation with the heritage barn preservation advisory board, shall conduct a thematic study of Washington state's barns. The study shall include a determination of types, an assessment of the most unique and significant barns in the state, and a condition and needs assessment of historic barns in the state.</w:t>
      </w:r>
    </w:p>
    <w:p>
      <w:pPr>
        <w:spacing w:before="0" w:after="0" w:line="408" w:lineRule="exact"/>
        <w:ind w:left="0" w:right="0" w:firstLine="576"/>
        <w:jc w:val="left"/>
      </w:pPr>
      <w:r>
        <w:rPr/>
        <w:t xml:space="preserve">(3)(a) The department, in consultation with the heritage barn preservation advisory board, shall establish a heritage barn recognition program. To apply for recognition as a heritage barn, the barn owner shall supply to the department photos of the barn, photos of the farm and surrounding landscape, a brief history of the farm, and a construction date for the barn.</w:t>
      </w:r>
    </w:p>
    <w:p>
      <w:pPr>
        <w:spacing w:before="0" w:after="0" w:line="408" w:lineRule="exact"/>
        <w:ind w:left="0" w:right="0" w:firstLine="576"/>
        <w:jc w:val="left"/>
      </w:pPr>
      <w:r>
        <w:rPr/>
        <w:t xml:space="preserve">(b) Three times a year, the governor's advisory council on historic places shall review the list of barns submitted by the department for formal recognition as a heritage barn.</w:t>
      </w:r>
    </w:p>
    <w:p>
      <w:pPr>
        <w:spacing w:before="0" w:after="0" w:line="408" w:lineRule="exact"/>
        <w:ind w:left="0" w:right="0" w:firstLine="576"/>
        <w:jc w:val="left"/>
      </w:pPr>
      <w:r>
        <w:rPr/>
        <w:t xml:space="preserve">(4) Eligible applicants for heritage barn preservation </w:t>
      </w:r>
      <w:r>
        <w:t>((</w:t>
      </w:r>
      <w:r>
        <w:rPr>
          <w:strike/>
        </w:rPr>
        <w:t xml:space="preserve">fund</w:t>
      </w:r>
      <w:r>
        <w:t>))</w:t>
      </w:r>
      <w:r>
        <w:rPr/>
        <w:t xml:space="preserve"> </w:t>
      </w:r>
      <w:r>
        <w:rPr>
          <w:u w:val="single"/>
        </w:rPr>
        <w:t xml:space="preserve">program</w:t>
      </w:r>
      <w:r>
        <w:rPr/>
        <w:t xml:space="preserve"> awards include property owners, nonprofit organizations, and local governments.</w:t>
      </w:r>
    </w:p>
    <w:p>
      <w:pPr>
        <w:spacing w:before="0" w:after="0" w:line="408" w:lineRule="exact"/>
        <w:ind w:left="0" w:right="0" w:firstLine="576"/>
        <w:jc w:val="left"/>
      </w:pPr>
      <w:r>
        <w:rPr/>
        <w:t xml:space="preserve">(5) To apply for support from the heritage barn preservation </w:t>
      </w:r>
      <w:r>
        <w:t>((</w:t>
      </w:r>
      <w:r>
        <w:rPr>
          <w:strike/>
        </w:rPr>
        <w:t xml:space="preserve">fund</w:t>
      </w:r>
      <w:r>
        <w:t>))</w:t>
      </w:r>
      <w:r>
        <w:rPr/>
        <w:t xml:space="preserve"> </w:t>
      </w:r>
      <w:r>
        <w:rPr>
          <w:u w:val="single"/>
        </w:rPr>
        <w:t xml:space="preserve">program</w:t>
      </w:r>
      <w:r>
        <w:rPr/>
        <w:t xml:space="preserve">, an applicant must submit an application to the department in a form prescribed by the department. Applicants must provide at least fifty percent of the cost of the project through in-kind labor, the applicant's own moneys, or other funding sources.</w:t>
      </w:r>
    </w:p>
    <w:p>
      <w:pPr>
        <w:spacing w:before="0" w:after="0" w:line="408" w:lineRule="exact"/>
        <w:ind w:left="0" w:right="0" w:firstLine="576"/>
        <w:jc w:val="left"/>
      </w:pPr>
      <w:r>
        <w:rPr/>
        <w:t xml:space="preserve">(6) The following types of projects are eligible for funding:</w:t>
      </w:r>
    </w:p>
    <w:p>
      <w:pPr>
        <w:spacing w:before="0" w:after="0" w:line="408" w:lineRule="exact"/>
        <w:ind w:left="0" w:right="0" w:firstLine="576"/>
        <w:jc w:val="left"/>
      </w:pPr>
      <w:r>
        <w:rPr/>
        <w:t xml:space="preserve">(a) Stabilization of endangered heritage barns and related agricultural buildings, including but not limited to repairs to foundations, sills, windows, walls, structural framework, and the repair and replacement of roofs; and</w:t>
      </w:r>
    </w:p>
    <w:p>
      <w:pPr>
        <w:spacing w:before="0" w:after="0" w:line="408" w:lineRule="exact"/>
        <w:ind w:left="0" w:right="0" w:firstLine="576"/>
        <w:jc w:val="left"/>
      </w:pPr>
      <w:r>
        <w:rPr/>
        <w:t xml:space="preserve">(b) Work that preserves the historic character, features, and materials of a historic barn.</w:t>
      </w:r>
    </w:p>
    <w:p>
      <w:pPr>
        <w:spacing w:before="0" w:after="0" w:line="408" w:lineRule="exact"/>
        <w:ind w:left="0" w:right="0" w:firstLine="576"/>
        <w:jc w:val="left"/>
      </w:pPr>
      <w:r>
        <w:rPr/>
        <w:t xml:space="preserve">(7) In making awards, the advisory board shall consider the following criteria:</w:t>
      </w:r>
    </w:p>
    <w:p>
      <w:pPr>
        <w:spacing w:before="0" w:after="0" w:line="408" w:lineRule="exact"/>
        <w:ind w:left="0" w:right="0" w:firstLine="576"/>
        <w:jc w:val="left"/>
      </w:pPr>
      <w:r>
        <w:rPr/>
        <w:t xml:space="preserve">(a) Relative historical and cultural significance of the barn;</w:t>
      </w:r>
    </w:p>
    <w:p>
      <w:pPr>
        <w:spacing w:before="0" w:after="0" w:line="408" w:lineRule="exact"/>
        <w:ind w:left="0" w:right="0" w:firstLine="576"/>
        <w:jc w:val="left"/>
      </w:pPr>
      <w:r>
        <w:rPr/>
        <w:t xml:space="preserve">(b) Urgency of the threat and need for repair;</w:t>
      </w:r>
    </w:p>
    <w:p>
      <w:pPr>
        <w:spacing w:before="0" w:after="0" w:line="408" w:lineRule="exact"/>
        <w:ind w:left="0" w:right="0" w:firstLine="576"/>
        <w:jc w:val="left"/>
      </w:pPr>
      <w:r>
        <w:rPr/>
        <w:t xml:space="preserve">(c) Extent to which the project preserves historic character and extends the useful life of the barn or associated agricultural building;</w:t>
      </w:r>
    </w:p>
    <w:p>
      <w:pPr>
        <w:spacing w:before="0" w:after="0" w:line="408" w:lineRule="exact"/>
        <w:ind w:left="0" w:right="0" w:firstLine="576"/>
        <w:jc w:val="left"/>
      </w:pPr>
      <w:r>
        <w:rPr/>
        <w:t xml:space="preserve">(d) Visibility of the barn from a state designated scenic byway or other publicly traveled way;</w:t>
      </w:r>
    </w:p>
    <w:p>
      <w:pPr>
        <w:spacing w:before="0" w:after="0" w:line="408" w:lineRule="exact"/>
        <w:ind w:left="0" w:right="0" w:firstLine="576"/>
        <w:jc w:val="left"/>
      </w:pPr>
      <w:r>
        <w:rPr/>
        <w:t xml:space="preserve">(e) Extent to which the project leverages other sources of financial assistance;</w:t>
      </w:r>
    </w:p>
    <w:p>
      <w:pPr>
        <w:spacing w:before="0" w:after="0" w:line="408" w:lineRule="exact"/>
        <w:ind w:left="0" w:right="0" w:firstLine="576"/>
        <w:jc w:val="left"/>
      </w:pPr>
      <w:r>
        <w:rPr/>
        <w:t xml:space="preserve">(f) Provision for long-term preservation;</w:t>
      </w:r>
    </w:p>
    <w:p>
      <w:pPr>
        <w:spacing w:before="0" w:after="0" w:line="408" w:lineRule="exact"/>
        <w:ind w:left="0" w:right="0" w:firstLine="576"/>
        <w:jc w:val="left"/>
      </w:pPr>
      <w:r>
        <w:rPr/>
        <w:t xml:space="preserve">(g) Readiness of the applicant to initiate and complete the project; and</w:t>
      </w:r>
    </w:p>
    <w:p>
      <w:pPr>
        <w:spacing w:before="0" w:after="0" w:line="408" w:lineRule="exact"/>
        <w:ind w:left="0" w:right="0" w:firstLine="576"/>
        <w:jc w:val="left"/>
      </w:pPr>
      <w:r>
        <w:rPr/>
        <w:t xml:space="preserve">(h) Extent to which the project contributes to the equitable geographic distribution of heritage barn preservation </w:t>
      </w:r>
      <w:r>
        <w:t>((</w:t>
      </w:r>
      <w:r>
        <w:rPr>
          <w:strike/>
        </w:rPr>
        <w:t xml:space="preserve">fund</w:t>
      </w:r>
      <w:r>
        <w:t>))</w:t>
      </w:r>
      <w:r>
        <w:rPr/>
        <w:t xml:space="preserve"> </w:t>
      </w:r>
      <w:r>
        <w:rPr>
          <w:u w:val="single"/>
        </w:rPr>
        <w:t xml:space="preserve">program</w:t>
      </w:r>
      <w:r>
        <w:rPr/>
        <w:t xml:space="preserve"> awards across the state.</w:t>
      </w:r>
    </w:p>
    <w:p>
      <w:pPr>
        <w:spacing w:before="0" w:after="0" w:line="408" w:lineRule="exact"/>
        <w:ind w:left="0" w:right="0" w:firstLine="576"/>
        <w:jc w:val="left"/>
      </w:pPr>
      <w:r>
        <w:rPr/>
        <w:t xml:space="preserve">(8) In awarding funds, special consideration shall be given to barns that are:</w:t>
      </w:r>
    </w:p>
    <w:p>
      <w:pPr>
        <w:spacing w:before="0" w:after="0" w:line="408" w:lineRule="exact"/>
        <w:ind w:left="0" w:right="0" w:firstLine="576"/>
        <w:jc w:val="left"/>
      </w:pPr>
      <w:r>
        <w:rPr/>
        <w:t xml:space="preserve">(a) Still in agricultural use;</w:t>
      </w:r>
    </w:p>
    <w:p>
      <w:pPr>
        <w:spacing w:before="0" w:after="0" w:line="408" w:lineRule="exact"/>
        <w:ind w:left="0" w:right="0" w:firstLine="576"/>
        <w:jc w:val="left"/>
      </w:pPr>
      <w:r>
        <w:rPr/>
        <w:t xml:space="preserve">(b) Listed on the national register of historic places; or</w:t>
      </w:r>
    </w:p>
    <w:p>
      <w:pPr>
        <w:spacing w:before="0" w:after="0" w:line="408" w:lineRule="exact"/>
        <w:ind w:left="0" w:right="0" w:firstLine="576"/>
        <w:jc w:val="left"/>
      </w:pPr>
      <w:r>
        <w:rPr/>
        <w:t xml:space="preserve">(c) Outstanding examples of their type or era.</w:t>
      </w:r>
    </w:p>
    <w:p>
      <w:pPr>
        <w:spacing w:before="0" w:after="0" w:line="408" w:lineRule="exact"/>
        <w:ind w:left="0" w:right="0" w:firstLine="576"/>
        <w:jc w:val="left"/>
      </w:pPr>
      <w:r>
        <w:rPr/>
        <w:t xml:space="preserve">(9) The conditions in this subsection must be met by recipients of funding in order to satisfy the public benefit requirements of the heritage barn preservation program.</w:t>
      </w:r>
    </w:p>
    <w:p>
      <w:pPr>
        <w:spacing w:before="0" w:after="0" w:line="408" w:lineRule="exact"/>
        <w:ind w:left="0" w:right="0" w:firstLine="576"/>
        <w:jc w:val="left"/>
      </w:pPr>
      <w:r>
        <w:rPr/>
        <w:t xml:space="preserve">(a) Recipients must execute a contract with the department before commencing work. The contract must include a historic preservation easement for between five to fifteen years depending on the amount of the award. The contract must specify public benefit and minimum maintenance requirements.</w:t>
      </w:r>
    </w:p>
    <w:p>
      <w:pPr>
        <w:spacing w:before="0" w:after="0" w:line="408" w:lineRule="exact"/>
        <w:ind w:left="0" w:right="0" w:firstLine="576"/>
        <w:jc w:val="left"/>
      </w:pPr>
      <w:r>
        <w:rPr/>
        <w:t xml:space="preserve">(b) Recipients must proactively maintain their historic barn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w:t>
      </w:r>
    </w:p>
    <w:p>
      <w:pPr>
        <w:spacing w:before="0" w:after="0" w:line="408" w:lineRule="exact"/>
        <w:ind w:left="0" w:right="0" w:firstLine="576"/>
        <w:jc w:val="left"/>
      </w:pPr>
      <w:r>
        <w:rPr/>
        <w:t xml:space="preserve">(10) All work must comply with the United States secretary of the interior's standards for the rehabilitation of historic properties; however, exceptions may be made for the retention or installation of metal roofs on a case-by-case basis.</w:t>
      </w:r>
    </w:p>
    <w:p>
      <w:pPr>
        <w:spacing w:before="0" w:after="0" w:line="408" w:lineRule="exact"/>
        <w:ind w:left="0" w:right="0" w:firstLine="576"/>
        <w:jc w:val="left"/>
      </w:pPr>
      <w:r>
        <w:rPr/>
        <w:t xml:space="preserve">(11) The heritage barn preservation </w:t>
      </w:r>
      <w:r>
        <w:t>((</w:t>
      </w:r>
      <w:r>
        <w:rPr>
          <w:strike/>
        </w:rPr>
        <w:t xml:space="preserve">fund</w:t>
      </w:r>
      <w:r>
        <w:t>))</w:t>
      </w:r>
      <w:r>
        <w:rPr/>
        <w:t xml:space="preserve"> </w:t>
      </w:r>
      <w:r>
        <w:rPr>
          <w:u w:val="single"/>
        </w:rPr>
        <w:t xml:space="preserve">program</w:t>
      </w:r>
      <w:r>
        <w:rPr/>
        <w:t xml:space="preserve"> shall be acknowledged on any materials produced and in publicity for the project. A sign acknowledging the </w:t>
      </w:r>
      <w:r>
        <w:t>((</w:t>
      </w:r>
      <w:r>
        <w:rPr>
          <w:strike/>
        </w:rPr>
        <w:t xml:space="preserve">fund</w:t>
      </w:r>
      <w:r>
        <w:t>))</w:t>
      </w:r>
      <w:r>
        <w:rPr/>
        <w:t xml:space="preserve"> </w:t>
      </w:r>
      <w:r>
        <w:rPr>
          <w:u w:val="single"/>
        </w:rPr>
        <w:t xml:space="preserve">program</w:t>
      </w:r>
      <w:r>
        <w:rPr/>
        <w:t xml:space="preserve"> shall be posted at the worksite for the duration of the preservation agreement.</w:t>
      </w:r>
    </w:p>
    <w:p>
      <w:pPr>
        <w:spacing w:before="0" w:after="0" w:line="408" w:lineRule="exact"/>
        <w:ind w:left="0" w:right="0" w:firstLine="576"/>
        <w:jc w:val="left"/>
      </w:pPr>
      <w:r>
        <w:rPr/>
        <w:t xml:space="preserve">(12) Projects must be initiated within one year of funding approval and completed within two years, unless an extension is provided by the department in writing.</w:t>
      </w:r>
    </w:p>
    <w:p>
      <w:pPr>
        <w:spacing w:before="0" w:after="0" w:line="408" w:lineRule="exact"/>
        <w:ind w:left="0" w:right="0" w:firstLine="576"/>
        <w:jc w:val="left"/>
      </w:pPr>
      <w:r>
        <w:rPr/>
        <w:t xml:space="preserve">(13) If a recipient of a heritage barn preservation </w:t>
      </w:r>
      <w:r>
        <w:t>((</w:t>
      </w:r>
      <w:r>
        <w:rPr>
          <w:strike/>
        </w:rPr>
        <w:t xml:space="preserve">fund</w:t>
      </w:r>
      <w:r>
        <w:t>))</w:t>
      </w:r>
      <w:r>
        <w:rPr/>
        <w:t xml:space="preserve"> </w:t>
      </w:r>
      <w:r>
        <w:rPr>
          <w:u w:val="single"/>
        </w:rPr>
        <w:t xml:space="preserve">program</w:t>
      </w:r>
      <w:r>
        <w:rPr/>
        <w:t xml:space="preserve"> award, or subsequent owner of a property that was assisted by the </w:t>
      </w:r>
      <w:r>
        <w:t>((</w:t>
      </w:r>
      <w:r>
        <w:rPr>
          <w:strike/>
        </w:rPr>
        <w:t xml:space="preserve">fund</w:t>
      </w:r>
      <w:r>
        <w:t>))</w:t>
      </w:r>
      <w:r>
        <w:rPr/>
        <w:t xml:space="preserve"> </w:t>
      </w:r>
      <w:r>
        <w:rPr>
          <w:u w:val="single"/>
        </w:rPr>
        <w:t xml:space="preserve">program</w:t>
      </w:r>
      <w:r>
        <w:rPr/>
        <w:t xml:space="preserve">, takes any action within ten years of the funding award with respect to the assisted property such as dismantlement, removal, or substantial alteration, which causes it to be no longer eligible for listing in the Washington heritage register, the </w:t>
      </w:r>
      <w:r>
        <w:t>((</w:t>
      </w:r>
      <w:r>
        <w:rPr>
          <w:strike/>
        </w:rPr>
        <w:t xml:space="preserve">fund</w:t>
      </w:r>
      <w:r>
        <w:t>))</w:t>
      </w:r>
      <w:r>
        <w:rPr/>
        <w:t xml:space="preserve"> </w:t>
      </w:r>
      <w:r>
        <w:rPr>
          <w:u w:val="single"/>
        </w:rPr>
        <w:t xml:space="preserve">program</w:t>
      </w:r>
      <w:r>
        <w:rPr/>
        <w:t xml:space="preserve"> shall be repaid in full within one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Fern Lodge maintenance account is created in the custody of the state treasurer. All receipts from the collection of rents for the Snohomish county long-term civil commitment facility known as Fern Lodge must be deposited into the account. Expenditures from the account may only be used for the ongoing maintenance and operational costs of Fern Lodge. Only the director or the director's designee may authorize expenses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The clean fuels credit account is created in the state treasury. All receipts from clean fuel credits generated under this chapter by state agency activities not funded through an appropriation in an omnibus transportation appropriations act must be deposited into the account. Moneys in the account may be spent only after appropriation. Expenditures from the account may be used only for state agencies to complete investments to reduce state agency transportation-related emissions including, but not limited to, electric vehicle infrastructure, electric vehicles, electric vessels, and electric boats.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sexual assault kit account was created in section 9, chapter 173, Laws of 2016, with an expiration date of June 30, 2022. Any residual balance of funds remaining in the Washington sexual assault kit account as of the date of the account's expiration must be transferred by the state treasurer to the fingerprint identification account no later than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abolished in this act on June 30, 2024, shall be transferred by the state treasurer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through 9 of this act, this act is necessary for the immediate preservation of the public peace, health, or safety, or support of the state government and its existing public institutions, and takes effect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5, 6, and 8 of this act take effect July 1, 2024.</w:t>
      </w:r>
    </w:p>
    <w:p>
      <w:pPr>
        <w:spacing w:before="0" w:after="0" w:line="408" w:lineRule="exact"/>
        <w:ind w:left="0" w:right="0" w:firstLine="576"/>
        <w:jc w:val="left"/>
      </w:pPr>
      <w:r>
        <w:rPr/>
        <w:t xml:space="preserve">(2) Section 7 of this act takes effect July 1, 2030.</w:t>
      </w:r>
    </w:p>
    <w:p>
      <w:pPr>
        <w:spacing w:before="0" w:after="0" w:line="408" w:lineRule="exact"/>
        <w:ind w:left="0" w:right="0" w:firstLine="576"/>
        <w:jc w:val="left"/>
      </w:pPr>
      <w:r>
        <w:rPr/>
        <w:t xml:space="preserve">(3) Section 9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July 1, 2030.</w:t>
      </w:r>
    </w:p>
    <w:p>
      <w:pPr>
        <w:spacing w:before="0" w:after="0" w:line="408" w:lineRule="exact"/>
        <w:ind w:left="0" w:right="0" w:firstLine="576"/>
        <w:jc w:val="left"/>
      </w:pPr>
      <w:r>
        <w:rPr/>
        <w:t xml:space="preserve">(3) Section 8 of this act expires July 1, 2028.</w:t>
      </w:r>
    </w:p>
    <w:p/>
    <w:p>
      <w:pPr>
        <w:jc w:val="center"/>
      </w:pPr>
      <w:r>
        <w:rPr>
          <w:b/>
        </w:rPr>
        <w:t>--- END ---</w:t>
      </w:r>
    </w:p>
    <w:sectPr>
      <w:pgNumType w:start="1"/>
      <w:footerReference xmlns:r="http://schemas.openxmlformats.org/officeDocument/2006/relationships" r:id="R7b68639213e843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5cf9505d604eeb" /><Relationship Type="http://schemas.openxmlformats.org/officeDocument/2006/relationships/footer" Target="/word/footer1.xml" Id="R7b68639213e843d6" /></Relationships>
</file>