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bedcf8406e44de" /></Relationships>
</file>

<file path=word/document.xml><?xml version="1.0" encoding="utf-8"?>
<w:document xmlns:w="http://schemas.openxmlformats.org/wordprocessingml/2006/main">
  <w:body>
    <w:p>
      <w:r>
        <w:t>S-4610.1</w:t>
      </w:r>
    </w:p>
    <w:p>
      <w:pPr>
        <w:jc w:val="center"/>
      </w:pPr>
      <w:r>
        <w:t>_______________________________________________</w:t>
      </w:r>
    </w:p>
    <w:p/>
    <w:p>
      <w:pPr>
        <w:jc w:val="center"/>
      </w:pPr>
      <w:r>
        <w:rPr>
          <w:b/>
        </w:rPr>
        <w:t>SUBSTITUTE SENATE BILL 6100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Robinson and Nguyen; by request of Office of Financial Management)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for declared catastrophic events; creating a new section; making an appropriation;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August 19, 2023, the governor declared a state of emergency in all counties due to threats to life and property from existing and threatened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r>
        <w:rPr>
          <w:rFonts w:ascii="Times New Roman" w:hAnsi="Times New Roman"/>
          <w:b/>
        </w:rPr>
        <w:t xml:space="preserve">—</w:t>
      </w:r>
      <w:r>
        <w:rPr>
          <w:b/>
        </w:rPr>
        <w:t xml:space="preserve">FIRES.</w:t>
      </w:r>
      <w:r>
        <w:rPr/>
        <w:t xml:space="preserve"> The sum of $21,143,000 is appropriated from the budget stabilization account for the fiscal year ending June 30, 2024, and is provided solely for fire suppression costs incurred by the department of natural resources during the 2023 fire season.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f8c69e2ad8640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75d2a47f5a42a6" /><Relationship Type="http://schemas.openxmlformats.org/officeDocument/2006/relationships/footer" Target="/word/footer1.xml" Id="R9f8c69e2ad864069" /></Relationships>
</file>