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2daa95bcd44f6" /></Relationships>
</file>

<file path=word/document.xml><?xml version="1.0" encoding="utf-8"?>
<w:document xmlns:w="http://schemas.openxmlformats.org/wordprocessingml/2006/main">
  <w:body>
    <w:p>
      <w:r>
        <w:t>S-4787.1</w:t>
      </w:r>
    </w:p>
    <w:p>
      <w:pPr>
        <w:jc w:val="center"/>
      </w:pPr>
      <w:r>
        <w:t>_______________________________________________</w:t>
      </w:r>
    </w:p>
    <w:p/>
    <w:p>
      <w:pPr>
        <w:jc w:val="center"/>
      </w:pPr>
      <w:r>
        <w:rPr>
          <w:b/>
        </w:rPr>
        <w:t>SECOND SUBSTITUTE SENATE BILL 6109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Boehnke, Braun, Gildon, Hasegawa, Kuderer, Liias, Lovelett, Lovick, Nguyen, Nobles, Saldaña, Short,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removal process in circumstances involving high-potency synthetic opioids; amending RCW 13.34.050, 13.34.130, 26.44.050, 26.44.056, and 2.56.230; reenacting and amending RCW 13.34.030 and 13.34.065; adding new sections to chapter 43.216 RCW; adding a new section to chapter 41.05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highly potent synthetic opioids pose to vulnerable children. The legislature declares that public health guidance from the department of health regarding the lethality of highly potent synthetic opioids should be given great weight in determining whether a child is at risk of imminent physical harm as a result of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from the department of health related to high-potency synthetic opioids</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from the department of health related to high-potency synthetic opioids when applying the requirements of this subsection</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from the department of health related to high-potency synthetic opioids when deciding whether to place the child with the parent.</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from the department of health related to high-potency synthetic opioids, including fentanyl, when deciding whether a manifest danger exists.</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 consistent with public health guidance from the department of health related to high-potency synthetic opioids;</w:t>
      </w:r>
    </w:p>
    <w:p>
      <w:pPr>
        <w:spacing w:before="0" w:after="0" w:line="408" w:lineRule="exact"/>
        <w:ind w:left="0" w:right="0" w:firstLine="576"/>
        <w:jc w:val="left"/>
      </w:pPr>
      <w:r>
        <w:rPr>
          <w:u w:val="single"/>
        </w:rPr>
        <w:t xml:space="preserve">(xvi) Policies and procedures of the department of children, youth, and families regarding safety and service planning including the differences between safety plans and service plans; and</w:t>
      </w:r>
    </w:p>
    <w:p>
      <w:pPr>
        <w:spacing w:before="0" w:after="0" w:line="408" w:lineRule="exact"/>
        <w:ind w:left="0" w:right="0" w:firstLine="576"/>
        <w:jc w:val="left"/>
      </w:pPr>
      <w:r>
        <w:rPr>
          <w:u w:val="single"/>
        </w:rPr>
        <w:t xml:space="preserve">(xvii)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administrator for the courts, in collaboration with the department of children, youth, and families, the department of health, and a statewide organization focused on advocating for the best interest of children experiencing abuse and neglect shall develop training regarding:</w:t>
      </w:r>
    </w:p>
    <w:p>
      <w:pPr>
        <w:spacing w:before="0" w:after="0" w:line="408" w:lineRule="exact"/>
        <w:ind w:left="0" w:right="0" w:firstLine="576"/>
        <w:jc w:val="left"/>
      </w:pPr>
      <w:r>
        <w:rPr/>
        <w:t xml:space="preserve">(a) The risk and danger presented to children and youth by high-potency synthetic opioids; and</w:t>
      </w:r>
    </w:p>
    <w:p>
      <w:pPr>
        <w:spacing w:before="0" w:after="0" w:line="408" w:lineRule="exact"/>
        <w:ind w:left="0" w:right="0" w:firstLine="576"/>
        <w:jc w:val="left"/>
      </w:pPr>
      <w:r>
        <w:rPr/>
        <w:t xml:space="preserve">(b) The legal standards for removal of a child based on abuse or neglect.</w:t>
      </w:r>
    </w:p>
    <w:p>
      <w:pPr>
        <w:spacing w:before="0" w:after="0" w:line="408" w:lineRule="exact"/>
        <w:ind w:left="0" w:right="0" w:firstLine="576"/>
        <w:jc w:val="left"/>
      </w:pPr>
      <w:r>
        <w:rPr/>
        <w:t xml:space="preserve">(2) The training developed under this section shall be provided by public health experts or professionals. The administrator for the courts shall provide funding to an organization for this purpose.</w:t>
      </w:r>
    </w:p>
    <w:p>
      <w:pPr>
        <w:spacing w:before="0" w:after="0" w:line="408" w:lineRule="exact"/>
        <w:ind w:left="0" w:right="0" w:firstLine="576"/>
        <w:jc w:val="left"/>
      </w:pPr>
      <w:r>
        <w:rPr/>
        <w:t xml:space="preserve">(3) The training developed and provided under this section must be developed for and available to child welfare court professionals including, but not limited to:</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(4) The training developed and provided under this section must be developed and provided in a manner that allows and encourages a variety of child welfare court professionals to participate in the training. When possible, the training developed under this section must allow as many child welfare court professionals from a specific county to attend at the same time to allow those professionals to develop their working relationships.</w:t>
      </w:r>
    </w:p>
    <w:p>
      <w:pPr>
        <w:spacing w:before="0" w:after="0" w:line="408" w:lineRule="exact"/>
        <w:ind w:left="0" w:right="0" w:firstLine="576"/>
        <w:jc w:val="left"/>
      </w:pPr>
      <w:r>
        <w:rPr/>
        <w:t xml:space="preserve">(5) This section expires July 1, 2025.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 Unused slots under this section may be used for children who are screened in due to a parent's substance use disorder when the substance use disorder is related to a substance other than a high-potency synthetic opioid.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
      <w:pPr>
        <w:jc w:val="center"/>
      </w:pPr>
      <w:r>
        <w:rPr>
          <w:b/>
        </w:rPr>
        <w:t>--- END ---</w:t>
      </w:r>
    </w:p>
    <w:sectPr>
      <w:pgNumType w:start="1"/>
      <w:footerReference xmlns:r="http://schemas.openxmlformats.org/officeDocument/2006/relationships" r:id="R49021dae208442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2ee67059a4038" /><Relationship Type="http://schemas.openxmlformats.org/officeDocument/2006/relationships/footer" Target="/word/footer1.xml" Id="R49021dae20844269" /></Relationships>
</file>