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d8e88084840f7" /></Relationships>
</file>

<file path=word/document.xml><?xml version="1.0" encoding="utf-8"?>
<w:document xmlns:w="http://schemas.openxmlformats.org/wordprocessingml/2006/main">
  <w:body>
    <w:p>
      <w:r>
        <w:t>S-3611.1</w:t>
      </w:r>
    </w:p>
    <w:p>
      <w:pPr>
        <w:jc w:val="center"/>
      </w:pPr>
      <w:r>
        <w:t>_______________________________________________</w:t>
      </w:r>
    </w:p>
    <w:p/>
    <w:p>
      <w:pPr>
        <w:jc w:val="center"/>
      </w:pPr>
      <w:r>
        <w:rPr>
          <w:b/>
        </w:rPr>
        <w:t>SENATE BILL 6124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Holy, Keiser, Billig, Frame, Hunt, Kuderer, Lovelett, Lovick, Nobles, Saldaña, Shewmake, Stanford, and Valdez</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state employees living in an emergency or disaster area to receive shared leave; and amending RCW 41.04.665.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2020 c 6 s 2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The employee is a current member of the uniformed services or is a veteran as defined under RCW 41.04.005, and is attending medical appointments or treatments for a service connected injury or disability;</w:t>
      </w:r>
    </w:p>
    <w:p>
      <w:pPr>
        <w:spacing w:before="0" w:after="0" w:line="408" w:lineRule="exact"/>
        <w:ind w:left="0" w:right="0" w:firstLine="576"/>
        <w:jc w:val="left"/>
      </w:pPr>
      <w:r>
        <w:rPr/>
        <w:t xml:space="preserve">(iv) The employee is a spouse of a current member of the uniformed services or a veteran as defined under RCW 41.04.005, who is attending medical appointments or treatments for a service connected injury or disability and requires assistance while attending appointment or treatment;</w:t>
      </w:r>
    </w:p>
    <w:p>
      <w:pPr>
        <w:spacing w:before="0" w:after="0" w:line="408" w:lineRule="exact"/>
        <w:ind w:left="0" w:right="0" w:firstLine="576"/>
        <w:jc w:val="left"/>
      </w:pPr>
      <w:r>
        <w:rPr/>
        <w:t xml:space="preserve">(v)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w:t>
      </w:r>
    </w:p>
    <w:p>
      <w:pPr>
        <w:spacing w:before="0" w:after="0" w:line="408" w:lineRule="exact"/>
        <w:ind w:left="0" w:right="0" w:firstLine="576"/>
        <w:jc w:val="left"/>
      </w:pPr>
      <w:r>
        <w:rPr/>
        <w:t xml:space="preserve">(vi) The employee is a victim of domestic violence, sexual assault, or stalking;</w:t>
      </w:r>
    </w:p>
    <w:p>
      <w:pPr>
        <w:spacing w:before="0" w:after="0" w:line="408" w:lineRule="exact"/>
        <w:ind w:left="0" w:right="0" w:firstLine="576"/>
        <w:jc w:val="left"/>
      </w:pPr>
      <w:r>
        <w:rPr/>
        <w:t xml:space="preserve">(vii) The employee needs the time for parental leave; </w:t>
      </w:r>
      <w:r>
        <w:t>((</w:t>
      </w:r>
      <w:r>
        <w:rPr>
          <w:strike/>
        </w:rPr>
        <w:t xml:space="preserve">or</w:t>
      </w:r>
      <w:r>
        <w:t>))</w:t>
      </w:r>
    </w:p>
    <w:p>
      <w:pPr>
        <w:spacing w:before="0" w:after="0" w:line="408" w:lineRule="exact"/>
        <w:ind w:left="0" w:right="0" w:firstLine="576"/>
        <w:jc w:val="left"/>
      </w:pPr>
      <w:r>
        <w:rPr/>
        <w:t xml:space="preserve">(viii) The employee is sick or temporarily disabled because of pregnancy disability</w:t>
      </w:r>
      <w:r>
        <w:rPr>
          <w:u w:val="single"/>
        </w:rPr>
        <w:t xml:space="preserve">; or</w:t>
      </w:r>
    </w:p>
    <w:p>
      <w:pPr>
        <w:spacing w:before="0" w:after="0" w:line="408" w:lineRule="exact"/>
        <w:ind w:left="0" w:right="0" w:firstLine="576"/>
        <w:jc w:val="left"/>
      </w:pPr>
      <w:r>
        <w:rPr>
          <w:u w:val="single"/>
        </w:rPr>
        <w:t xml:space="preserve">(ix) The employee lives in an area affected by an emergency or disaster as defined in RCW 38.52.010</w:t>
      </w:r>
      <w:r>
        <w:rPr/>
        <w:t xml:space="preserve">;</w:t>
      </w:r>
    </w:p>
    <w:p>
      <w:pPr>
        <w:spacing w:before="0" w:after="0" w:line="408" w:lineRule="exact"/>
        <w:ind w:left="0" w:right="0" w:firstLine="576"/>
        <w:jc w:val="left"/>
      </w:pPr>
      <w:r>
        <w:rPr/>
        <w:t xml:space="preserve">(b) The illness, injury, impairment, condition, call to service, </w:t>
      </w:r>
      <w:r>
        <w:rPr>
          <w:u w:val="single"/>
        </w:rPr>
        <w:t xml:space="preserve">emergency or disaster,</w:t>
      </w:r>
      <w:r>
        <w:rPr/>
        <w:t xml:space="preserv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w:t>
      </w:r>
    </w:p>
    <w:p>
      <w:pPr>
        <w:spacing w:before="0" w:after="0" w:line="408" w:lineRule="exact"/>
        <w:ind w:left="0" w:right="0" w:firstLine="576"/>
        <w:jc w:val="left"/>
      </w:pPr>
      <w:r>
        <w:rPr/>
        <w:t xml:space="preserve">(iii) Annual leave if he or she qualifies under (a) (v) </w:t>
      </w:r>
      <w:r>
        <w:t>((</w:t>
      </w:r>
      <w:r>
        <w:rPr>
          <w:strike/>
        </w:rPr>
        <w:t xml:space="preserve">or</w:t>
      </w:r>
      <w:r>
        <w:t>))</w:t>
      </w:r>
      <w:r>
        <w:rPr>
          <w:u w:val="single"/>
        </w:rPr>
        <w:t xml:space="preserve">,</w:t>
      </w:r>
      <w:r>
        <w:rPr/>
        <w:t xml:space="preserve"> (vi)</w:t>
      </w:r>
      <w:r>
        <w:rPr>
          <w:u w:val="single"/>
        </w:rPr>
        <w:t xml:space="preserve">, or (ix)</w:t>
      </w:r>
      <w:r>
        <w:rPr/>
        <w:t xml:space="preserve"> of this subsection; or</w:t>
      </w:r>
    </w:p>
    <w:p>
      <w:pPr>
        <w:spacing w:before="0" w:after="0" w:line="408" w:lineRule="exact"/>
        <w:ind w:left="0" w:right="0" w:firstLine="576"/>
        <w:jc w:val="left"/>
      </w:pPr>
      <w:r>
        <w:rPr/>
        <w:t xml:space="preserve">(iv) Annual leave and sick leave reserves if the employee qualifies under (a)(vii) or (viii) of this subsection;</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(vi), (vii), or (viii)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(f)(i) Until the expiration of proclamation 20-05, issued February 29, 2020, by the governor and declaring a state of emergency in the state of Washington, or any amendment thereto, whichever is later, an agency head may permit an employee to receive shared leave under this section if the employee, or a relative or household member, is isolated or quarantined as recommended, requested, or ordered by a public health official or health care provider as a result of suspected or confirmed infection with or exposure to the 2019 novel coronavirus (COVID-19). An agency head may permit use of shared leave under this subsection (1)(f) without considering the requirements of (a) through (e) of this subsection.</w:t>
      </w:r>
    </w:p>
    <w:p>
      <w:pPr>
        <w:spacing w:before="0" w:after="0" w:line="408" w:lineRule="exact"/>
        <w:ind w:left="0" w:right="0" w:firstLine="576"/>
        <w:jc w:val="left"/>
      </w:pPr>
      <w:r>
        <w:rPr/>
        <w:t xml:space="preserve">(ii) The office of the governor must provide notice of the expiration of proclamation 20-05, or any amendment thereto, whichever is later, to the chief clerk of the house of representatives, the secretary of the senate, the office of the code reviser, and others as deemed appropriate by the office of the governor.</w:t>
      </w:r>
    </w:p>
    <w:p>
      <w:pPr>
        <w:spacing w:before="0" w:after="0" w:line="408" w:lineRule="exact"/>
        <w:ind w:left="0" w:right="0" w:firstLine="576"/>
        <w:jc w:val="left"/>
      </w:pPr>
      <w:r>
        <w:rPr/>
        <w:t xml:space="preserve">(2)(a) The agency head shall determine the amount of leave, if any, which an employee may receive under this section. However, the agency head may not prevent an employee from using shared leave intermittently or on nonconsecutive days so long as the leave has not been returned under subsection (10) of this section. In addition,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(b) An employee receiving industrial insurance wage replacement benefits may not receive greater than twenty-five percent of his or her base salary from the receipt of shared leave under this section.</w:t>
      </w:r>
    </w:p>
    <w:p>
      <w:pPr>
        <w:spacing w:before="0" w:after="0" w:line="408" w:lineRule="exact"/>
        <w:ind w:left="0" w:right="0" w:firstLine="576"/>
        <w:jc w:val="left"/>
      </w:pPr>
      <w:r>
        <w:rPr/>
        <w:t xml:space="preserve">(3) The agency head must allow employees who are veterans, as defined under RCW 41.04.005, and their spouses, to access shared leave from the veterans' in-state service shared leave pool upon employment.</w:t>
      </w:r>
    </w:p>
    <w:p>
      <w:pPr>
        <w:spacing w:before="0" w:after="0" w:line="408" w:lineRule="exact"/>
        <w:ind w:left="0" w:right="0" w:firstLine="576"/>
        <w:jc w:val="left"/>
      </w:pPr>
      <w:r>
        <w:rPr/>
        <w:t xml:space="preserve">(4)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(4)(a),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(5)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(6) Transfers of leave made by an agency head under subsections (4) and (5) of this section shall not exceed the requested amount.</w:t>
      </w:r>
    </w:p>
    <w:p>
      <w:pPr>
        <w:spacing w:before="0" w:after="0" w:line="408" w:lineRule="exact"/>
        <w:ind w:left="0" w:right="0" w:firstLine="576"/>
        <w:jc w:val="left"/>
      </w:pPr>
      <w:r>
        <w:rPr/>
        <w:t xml:space="preserve">(7)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(8)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(9)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(10)(a)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(11)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(12) The director of financial management may adopt rules as necessary to implement subsection (2) of this section.</w:t>
      </w:r>
    </w:p>
    <w:p>
      <w:pPr>
        <w:spacing w:before="0" w:after="0" w:line="408" w:lineRule="exact"/>
        <w:ind w:left="0" w:right="0" w:firstLine="576"/>
        <w:jc w:val="left"/>
      </w:pPr>
      <w:r>
        <w:rPr/>
        <w:t xml:space="preserve">(13) For the purposes of this section, "shortly deplete" means that the employee will have forty hours or less of the applicable leave types under subsection (1)(d) of this section. However, the employee is not required to deplete all of the employee's leave and can maintain up to forty hours of the applicable leave types in reserve.</w:t>
      </w:r>
    </w:p>
    <w:p/>
    <w:p>
      <w:pPr>
        <w:jc w:val="center"/>
      </w:pPr>
      <w:r>
        <w:rPr>
          <w:b/>
        </w:rPr>
        <w:t>--- END ---</w:t>
      </w:r>
    </w:p>
    <w:sectPr>
      <w:pgNumType w:start="1"/>
      <w:footerReference xmlns:r="http://schemas.openxmlformats.org/officeDocument/2006/relationships" r:id="R5360e3ae1b954a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0c69d1e144683" /><Relationship Type="http://schemas.openxmlformats.org/officeDocument/2006/relationships/footer" Target="/word/footer1.xml" Id="R5360e3ae1b954a0b" /></Relationships>
</file>