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10cd4b5294a94" /></Relationships>
</file>

<file path=word/document.xml><?xml version="1.0" encoding="utf-8"?>
<w:document xmlns:w="http://schemas.openxmlformats.org/wordprocessingml/2006/main">
  <w:body>
    <w:p>
      <w:r>
        <w:t>S-3888.1</w:t>
      </w:r>
    </w:p>
    <w:p>
      <w:pPr>
        <w:jc w:val="center"/>
      </w:pPr>
      <w:r>
        <w:t>_______________________________________________</w:t>
      </w:r>
    </w:p>
    <w:p/>
    <w:p>
      <w:pPr>
        <w:jc w:val="center"/>
      </w:pPr>
      <w:r>
        <w:rPr>
          <w:b/>
        </w:rPr>
        <w:t>SENATE BILL 6140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Short, Lovelett, Braun, and Kuderer</w:t>
      </w:r>
    </w:p>
    <w:p/>
    <w:p>
      <w:r>
        <w:rPr>
          <w:t xml:space="preserve">Read first time 01/10/24.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areas of more intensive rural development;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2023 c 228 s 3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and green spaces, urban and community forests within the urban growth area,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The land use element must give special consideration to achieving environmental justice in its goals and policies, including efforts to avoid creating or worsening environmental health disparities. Wherever possible, the land use element should consider utilizing urban planning approaches that promote physical activity and reduce per capita vehicle miles traveled within the jurisdiction, but without increasing greenhouse gas emissions elsewhere in the state.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including green infrastructure,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(4)(a) A utilities element consisting of the general location, proposed location, and capacity of all existing and proposed utilities including, but not limited to, electrical, telecommunications, and natural gas systems.</w:t>
      </w:r>
    </w:p>
    <w:p>
      <w:pPr>
        <w:spacing w:before="0" w:after="0" w:line="408" w:lineRule="exact"/>
        <w:ind w:left="0" w:right="0" w:firstLine="576"/>
        <w:jc w:val="left"/>
      </w:pPr>
      <w:r>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w:t>
      </w:r>
      <w:r>
        <w:rPr>
          <w:u w:val="single"/>
        </w:rPr>
        <w:t xml:space="preserve">, unless the retail space is for an essential rural retail service and the designated limited area is located at least 10 miles from an existing urban growth area</w:t>
      </w:r>
      <w:r>
        <w:rPr/>
        <w:t xml:space="preserve">; and</w:t>
      </w:r>
    </w:p>
    <w:p>
      <w:pPr>
        <w:spacing w:before="0" w:after="0" w:line="408" w:lineRule="exact"/>
        <w:ind w:left="0" w:right="0" w:firstLine="576"/>
        <w:jc w:val="left"/>
      </w:pPr>
      <w:r>
        <w:rPr/>
        <w:t xml:space="preserve">(II) Any included retail or food service space must not exceed 2,500 square feet for a new use</w:t>
      </w:r>
      <w:r>
        <w:rPr>
          <w:u w:val="single"/>
        </w:rPr>
        <w:t xml:space="preserve">, unless the new retail space is for an essential rural retail service and the designated limited area is located at least 10 miles from an existing urban growth area, then the new retail space must not exceed 10,000 square feet</w:t>
      </w:r>
      <w:r>
        <w:rPr/>
        <w:t xml:space="preserve">;</w:t>
      </w:r>
    </w:p>
    <w:p>
      <w:pPr>
        <w:spacing w:before="0" w:after="0" w:line="408" w:lineRule="exact"/>
        <w:ind w:left="0" w:right="0" w:firstLine="576"/>
        <w:jc w:val="left"/>
      </w:pPr>
      <w:r>
        <w:rPr>
          <w:u w:val="single"/>
        </w:rPr>
        <w:t xml:space="preserve">For the purposes of this subsection (5)(d), "essential rural retail services" means services including grocery, pharmacy, hardware, automotive parts, and similar uses that sell or provide products necessary for health and safety, such as food, medication, sanitation supplies, and products to maintain habitability and mobility.</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multimodal level of service impacts to state-owned transportation facilities resulting from land use assumptions to assist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active transportation facilities, and general aviation airport facilities, to define existing capital facilities and travel levels to inform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Multimodal level of service standards for all locally owned arterials, locally and regionally operated transit routes that serve urban growth areas, state-owned or operated transit routes that serve urban areas if the department of transportation has prepared such standards, and active transportation facilities to serve as a gauge to judge performance of the system and success in helping to achieve the goals of this chapter consistent with environmental justice. These standards should be regionally coordinated;</w:t>
      </w:r>
    </w:p>
    <w:p>
      <w:pPr>
        <w:spacing w:before="0" w:after="0" w:line="408" w:lineRule="exact"/>
        <w:ind w:left="0" w:right="0" w:firstLine="576"/>
        <w:jc w:val="left"/>
      </w:pPr>
      <w:r>
        <w:rPr/>
        <w:t xml:space="preserve">(C) For state-owned transportation facilities, multimodal level of service standards for highways, as prescribed in chapters 47.06 and 47.80 RCW, to gauge the performance of the system. The purposes of reflecting multimodal level of service standards for state highways in the local comprehensive plan are to monitor the performance of the system, to evaluate improvement strategies, and to facilitate coordination between the county's or city's six-year street, road, active transportation,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transportation facilities or services that are below an established multimodal level of service standard;</w:t>
      </w:r>
    </w:p>
    <w:p>
      <w:pPr>
        <w:spacing w:before="0" w:after="0" w:line="408" w:lineRule="exact"/>
        <w:ind w:left="0" w:right="0" w:firstLine="576"/>
        <w:jc w:val="left"/>
      </w:pPr>
      <w:r>
        <w:rPr/>
        <w:t xml:space="preserve">(E) Forecasts of multimodal transportation demand and needs within cities and urban growth areas, and forecasts of multimodal transportation demand and needs outside of cities and urban growth areas, for at least ten years based on the adopted land use plan to 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p>
    <w:p>
      <w:pPr>
        <w:spacing w:before="0" w:after="0" w:line="408" w:lineRule="exact"/>
        <w:ind w:left="0" w:right="0" w:firstLine="576"/>
        <w:jc w:val="left"/>
      </w:pPr>
      <w:r>
        <w:rPr/>
        <w:t xml:space="preserve">(F) Identification of state and local system needs to equitably meet current and future demands. Identified needs on state-owned transportation facilities must be consistent with the statewide multimodal transportation plan required under chapter 47.06 RCW. Local system needs should reflect the regional transportation system and local goals, and strive to equitably implement the multimodal network;</w:t>
      </w:r>
    </w:p>
    <w:p>
      <w:pPr>
        <w:spacing w:before="0" w:after="0" w:line="408" w:lineRule="exact"/>
        <w:ind w:left="0" w:right="0" w:firstLine="576"/>
        <w:jc w:val="left"/>
      </w:pPr>
      <w:r>
        <w:rPr/>
        <w:t xml:space="preserve">(G) A transition plan for transportation as required in Title II of the Americans with disabilities act of 1990 (ADA).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t xml:space="preserve">(I) Identify physical obstacles that limit the accessibility of facilities to individuals with disabilities;</w:t>
      </w:r>
    </w:p>
    <w:p>
      <w:pPr>
        <w:spacing w:before="0" w:after="0" w:line="408" w:lineRule="exact"/>
        <w:ind w:left="0" w:right="0" w:firstLine="576"/>
        <w:jc w:val="left"/>
      </w:pPr>
      <w:r>
        <w:rPr/>
        <w:t xml:space="preserve">(II) Describe the methods to be used to make the facilities accessible;</w:t>
      </w:r>
    </w:p>
    <w:p>
      <w:pPr>
        <w:spacing w:before="0" w:after="0" w:line="408" w:lineRule="exact"/>
        <w:ind w:left="0" w:right="0" w:firstLine="576"/>
        <w:jc w:val="left"/>
      </w:pPr>
      <w:r>
        <w:rPr/>
        <w:t xml:space="preserve">(III) Provide a schedule for making the access modifications; and</w:t>
      </w:r>
    </w:p>
    <w:p>
      <w:pPr>
        <w:spacing w:before="0" w:after="0" w:line="408" w:lineRule="exact"/>
        <w:ind w:left="0" w:right="0" w:firstLine="576"/>
        <w:jc w:val="left"/>
      </w:pPr>
      <w:r>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the identified needs of the transportation system, including state transportation facilities,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Active transportation component to include collaborative efforts to identify and designate planned improvements for active transportation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or locally or regionally operated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active transportation facility improvements, increased or enhanced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(c) an evaluation of tree canopy coverage within the urban growth area; and (d)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t xml:space="preserve">(b) The climate change and resiliency element shall include the following subelements:</w:t>
      </w:r>
    </w:p>
    <w:p>
      <w:pPr>
        <w:spacing w:before="0" w:after="0" w:line="408" w:lineRule="exact"/>
        <w:ind w:left="0" w:right="0" w:firstLine="576"/>
        <w:jc w:val="left"/>
      </w:pPr>
      <w:r>
        <w:rPr/>
        <w:t xml:space="preserve">(i) A greenhouse gas emissions reduction subelement;</w:t>
      </w:r>
    </w:p>
    <w:p>
      <w:pPr>
        <w:spacing w:before="0" w:after="0" w:line="408" w:lineRule="exact"/>
        <w:ind w:left="0" w:right="0" w:firstLine="576"/>
        <w:jc w:val="left"/>
      </w:pPr>
      <w:r>
        <w:rPr/>
        <w:t xml:space="preserve">(ii) A resiliency subelement.</w:t>
      </w:r>
    </w:p>
    <w:p>
      <w:pPr>
        <w:spacing w:before="0" w:after="0" w:line="408" w:lineRule="exact"/>
        <w:ind w:left="0" w:right="0" w:firstLine="576"/>
        <w:jc w:val="left"/>
      </w:pPr>
      <w:r>
        <w:rPr/>
        <w:t xml:space="preserve">(c) The greenhouse gas emissions reduction subelement of the climate change and resiliency element is mandatory for the jurisdictions specified in RCW 36.70A.095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RCW 70A.45.120 that will:</w:t>
      </w:r>
    </w:p>
    <w:p>
      <w:pPr>
        <w:spacing w:before="0" w:after="0" w:line="408" w:lineRule="exact"/>
        <w:ind w:left="0" w:right="0" w:firstLine="576"/>
        <w:jc w:val="left"/>
      </w:pPr>
      <w:r>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t xml:space="preserve">(ii) Actions not specifically identified in the guidelines developed by the department pursuant to RCW 70A.45.120 may be considered consistent with these guidelines only if:</w:t>
      </w:r>
    </w:p>
    <w:p>
      <w:pPr>
        <w:spacing w:before="0" w:after="0" w:line="408" w:lineRule="exact"/>
        <w:ind w:left="0" w:right="0" w:firstLine="576"/>
        <w:jc w:val="left"/>
      </w:pPr>
      <w:r>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RCW 70A.45.120 are not subject to administrative or judicial appeal under chapter 43.21C RCW.</w:t>
      </w:r>
    </w:p>
    <w:p>
      <w:pPr>
        <w:spacing w:before="0" w:after="0" w:line="408" w:lineRule="exact"/>
        <w:ind w:left="0" w:right="0" w:firstLine="576"/>
        <w:jc w:val="left"/>
      </w:pPr>
      <w:r>
        <w:rPr/>
        <w:t xml:space="preserve">(10)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b473d743b41846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8c03566a043d4" /><Relationship Type="http://schemas.openxmlformats.org/officeDocument/2006/relationships/footer" Target="/word/footer1.xml" Id="Rb473d743b418461f" /></Relationships>
</file>