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c560c735a4584" /></Relationships>
</file>

<file path=word/document.xml><?xml version="1.0" encoding="utf-8"?>
<w:document xmlns:w="http://schemas.openxmlformats.org/wordprocessingml/2006/main">
  <w:body>
    <w:p>
      <w:r>
        <w:t>S-4018.1</w:t>
      </w:r>
    </w:p>
    <w:p>
      <w:pPr>
        <w:jc w:val="center"/>
      </w:pPr>
      <w:r>
        <w:t>_______________________________________________</w:t>
      </w:r>
    </w:p>
    <w:p/>
    <w:p>
      <w:pPr>
        <w:jc w:val="center"/>
      </w:pPr>
      <w:r>
        <w:rPr>
          <w:b/>
        </w:rPr>
        <w:t>SENATE BILL 6244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pain parity act; adding a new section to chapter 43.70 RCW; adding a new section to chapter 74.09 RCW;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legislature finds that every competent adult has the fundamental right of self-determination regarding decisions pertaining to their own health, including the right to refuse an opioid drug.</w:t>
      </w:r>
    </w:p>
    <w:p>
      <w:pPr>
        <w:spacing w:before="0" w:after="0" w:line="408" w:lineRule="exact"/>
        <w:ind w:left="0" w:right="0" w:firstLine="576"/>
        <w:jc w:val="left"/>
      </w:pPr>
      <w:r>
        <w:rPr/>
        <w:t xml:space="preserve">(2) The department shall develop and publish on its website an educational pamphlet regarding the use of nonopioid alternatives for the treatment of acute nonoperative, acute perioperative, subacute, or chronic pain. The pamphlet shall, at a minimum, conform with the most current clinical practice guidelines for prescribing opioids for pain issued by the centers for disease control and prevention and shall include:</w:t>
      </w:r>
    </w:p>
    <w:p>
      <w:pPr>
        <w:spacing w:before="0" w:after="0" w:line="408" w:lineRule="exact"/>
        <w:ind w:left="0" w:right="0" w:firstLine="576"/>
        <w:jc w:val="left"/>
      </w:pPr>
      <w:r>
        <w:rPr/>
        <w:t xml:space="preserve">(a) Information on available nonopioid alternatives for the treatment of pain, including available nonopioid medicinal drugs or drug products and nonpharmacological therapies; and</w:t>
      </w:r>
    </w:p>
    <w:p>
      <w:pPr>
        <w:spacing w:before="0" w:after="0" w:line="408" w:lineRule="exact"/>
        <w:ind w:left="0" w:right="0" w:firstLine="576"/>
        <w:jc w:val="left"/>
      </w:pPr>
      <w:r>
        <w:rPr/>
        <w:t xml:space="preserve">(b) The advantages and disadvantages of the use of nonopioid alternatives.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establishing and maintaining the formulary and preferred drug list, the authority shall ensure that no nonopioid drug approved by the United States food and drug administration for the treatment or management of pain shall be disadvantaged or discouraged with respect to coverage relative to any opioid or narcotic drug for the treatment or management of pain on such formulary and preferred drug list, where impermissible disadvantaging or discouragement includes, without limitation: Designating any such nonopioid drug as a nonpreferred drug if any opioid or narcotic drug is designated as a preferred drug; or establishing more restrictive or more extensive utilization controls including, but not limited to, more restrictive or more extensive prior authorization or step therapy requirements for such nonopioid drug than the least restrictive or extensive utilization controls applicable to any such opioid or narcotic drug.</w:t>
      </w:r>
    </w:p>
    <w:p>
      <w:pPr>
        <w:spacing w:before="0" w:after="0" w:line="408" w:lineRule="exact"/>
        <w:ind w:left="0" w:right="0" w:firstLine="576"/>
        <w:jc w:val="left"/>
      </w:pPr>
      <w:r>
        <w:rPr/>
        <w:t xml:space="preserve">(2) This section applies to a nonopioid drug immediately upon its approval by the United States food and drug administration for the treatment or management of pain, regardless of whether such drug has been reviewed by the authority for inclusion on the formulary and preferred drug list. This section also applies to drugs being provided under a contract between the authority and any managed care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In establishing and maintaining its formulary, a commercial insurer shall ensure that no nonopioid drug approved by the United States food and drug administration for the treatment or management of pain shall be disadvantaged or discouraged, with respect to coverage or cost sharing, relative to any opioid or narcotic drug for the treatment or management of pain on such formulary, where impermissible disadvantaging or discouragement includes, without limitation: Imposing more restrictive coverage criteria on any such nonopioid drug than the least restrictive coverage criteria imposed on an opioid or narcotic drug; establishing more restrictive or more extensive utilization controls including, but not limited to, more restrictive or more extensive prior authorization or step therapy requirements, for such nonopioid drug than the least restrictive or extensive utilization controls applicable to any such opioid or narcotic drug; or, if such insurer maintains a formulary grouped into tiers for the purposes of determining cost sharing, placing any such nonopioid drug on a tier that requires a cost-sharing responsibility that exceeds the lowest cost-sharing responsibility required for any opioid or narcotic drug on such formulary.</w:t>
      </w:r>
    </w:p>
    <w:p>
      <w:pPr>
        <w:spacing w:before="0" w:after="0" w:line="408" w:lineRule="exact"/>
        <w:ind w:left="0" w:right="0" w:firstLine="576"/>
        <w:jc w:val="left"/>
      </w:pPr>
      <w:r>
        <w:rPr/>
        <w:t xml:space="preserve">(2) This section applies to a nonopioid drug immediately upon its approval by the United States food and drug administration for the treatment or management of pain.</w:t>
      </w:r>
    </w:p>
    <w:p/>
    <w:p>
      <w:pPr>
        <w:jc w:val="center"/>
      </w:pPr>
      <w:r>
        <w:rPr>
          <w:b/>
        </w:rPr>
        <w:t>--- END ---</w:t>
      </w:r>
    </w:p>
    <w:sectPr>
      <w:pgNumType w:start="1"/>
      <w:footerReference xmlns:r="http://schemas.openxmlformats.org/officeDocument/2006/relationships" r:id="R55420d6715414c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1c228517ef4dde" /><Relationship Type="http://schemas.openxmlformats.org/officeDocument/2006/relationships/footer" Target="/word/footer1.xml" Id="R55420d6715414c3e" /></Relationships>
</file>