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4f35d5fd6348a3" /></Relationships>
</file>

<file path=word/document.xml><?xml version="1.0" encoding="utf-8"?>
<w:document xmlns:w="http://schemas.openxmlformats.org/wordprocessingml/2006/main">
  <w:body>
    <w:p>
      <w:r>
        <w:t>S-4152.1</w:t>
      </w:r>
    </w:p>
    <w:p>
      <w:pPr>
        <w:jc w:val="center"/>
      </w:pPr>
      <w:r>
        <w:t>_______________________________________________</w:t>
      </w:r>
    </w:p>
    <w:p/>
    <w:p>
      <w:pPr>
        <w:jc w:val="center"/>
      </w:pPr>
      <w:r>
        <w:rPr>
          <w:b/>
        </w:rPr>
        <w:t>SENATE BILL 6284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Short, and L. Wilson</w:t>
      </w:r>
    </w:p>
    <w:p/>
    <w:p>
      <w:r>
        <w:rPr>
          <w:t xml:space="preserve">Read first time 01/22/24.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consistency and transparency of impact fees; amending RCW 82.02.050, 82.02.070, 43.31.980, 36.70A.070, and 64.06.070; and adding a new section to chapter 64.06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2015 c 241 s 1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(3)(a)(i) Counties, cities, and towns collecting impact fees must, by September 1, 2016, adopt and maintain a system for the deferred collection of impact fees for single-family detached and attached residential construction. The deferral system must include a process by which an applicant for a building permit for a single-family detached or attached residence may request a deferral of the full impact fee payment. The deferral system offered by a county, city, or town under this subsection (3) must include one or more of the following options:</w:t>
      </w:r>
    </w:p>
    <w:p>
      <w:pPr>
        <w:spacing w:before="0" w:after="0" w:line="408" w:lineRule="exact"/>
        <w:ind w:left="0" w:right="0" w:firstLine="576"/>
        <w:jc w:val="left"/>
      </w:pPr>
      <w:r>
        <w:rPr/>
        <w:t xml:space="preserve">(A) Deferring collection of the impact fee payment until final inspection;</w:t>
      </w:r>
    </w:p>
    <w:p>
      <w:pPr>
        <w:spacing w:before="0" w:after="0" w:line="408" w:lineRule="exact"/>
        <w:ind w:left="0" w:right="0" w:firstLine="576"/>
        <w:jc w:val="left"/>
      </w:pPr>
      <w:r>
        <w:rPr/>
        <w:t xml:space="preserve">(B) Deferring collection of the impact fee payment until certificate of occupancy or equivalent certification; or</w:t>
      </w:r>
    </w:p>
    <w:p>
      <w:pPr>
        <w:spacing w:before="0" w:after="0" w:line="408" w:lineRule="exact"/>
        <w:ind w:left="0" w:right="0" w:firstLine="576"/>
        <w:jc w:val="left"/>
      </w:pPr>
      <w:r>
        <w:rPr/>
        <w:t xml:space="preserve">(C) Deferring collection of the impact fee payment until the time of closing of the first sale of the property occurring after the issuance of the applicable building permit.</w:t>
      </w:r>
    </w:p>
    <w:p>
      <w:pPr>
        <w:spacing w:before="0" w:after="0" w:line="408" w:lineRule="exact"/>
        <w:ind w:left="0" w:right="0" w:firstLine="576"/>
        <w:jc w:val="left"/>
      </w:pPr>
      <w:r>
        <w:rPr/>
        <w:t xml:space="preserve">(ii) Counties, cities, and towns utilizing the deferral process required by this subsection (3)(a) may withhold certification of final inspection, certificate of occupancy, or equivalent certification until the impact fees have been paid in full.</w:t>
      </w:r>
    </w:p>
    <w:p>
      <w:pPr>
        <w:spacing w:before="0" w:after="0" w:line="408" w:lineRule="exact"/>
        <w:ind w:left="0" w:right="0" w:firstLine="576"/>
        <w:jc w:val="left"/>
      </w:pPr>
      <w:r>
        <w:rPr/>
        <w:t xml:space="preserve">(iii) The amount of impact fees that may be deferred under this subsection (3) must be determined by the fees in effect at the time the applicant applies for a deferral.</w:t>
      </w:r>
    </w:p>
    <w:p>
      <w:pPr>
        <w:spacing w:before="0" w:after="0" w:line="408" w:lineRule="exact"/>
        <w:ind w:left="0" w:right="0" w:firstLine="576"/>
        <w:jc w:val="left"/>
      </w:pPr>
      <w:r>
        <w:rPr/>
        <w:t xml:space="preserve">(iv)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spacing w:before="0" w:after="0" w:line="408" w:lineRule="exact"/>
        <w:ind w:left="0" w:right="0" w:firstLine="576"/>
        <w:jc w:val="left"/>
      </w:pPr>
      <w:r>
        <w:rPr/>
        <w:t xml:space="preserve">(b) The term of an impact fee deferral under this subsection (3) may not exceed eighteen months from the date of building permit issuance.</w:t>
      </w:r>
    </w:p>
    <w:p>
      <w:pPr>
        <w:spacing w:before="0" w:after="0" w:line="408" w:lineRule="exact"/>
        <w:ind w:left="0" w:right="0" w:firstLine="576"/>
        <w:jc w:val="left"/>
      </w:pPr>
      <w:r>
        <w:rPr/>
        <w:t xml:space="preserve">(c) 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spacing w:before="0" w:after="0" w:line="408" w:lineRule="exact"/>
        <w:ind w:left="0" w:right="0" w:firstLine="576"/>
        <w:jc w:val="left"/>
      </w:pPr>
      <w:r>
        <w:rPr/>
        <w:t xml:space="preserve">(i) In a form approved by the county, city, or town;</w:t>
      </w:r>
    </w:p>
    <w:p>
      <w:pPr>
        <w:spacing w:before="0" w:after="0" w:line="408" w:lineRule="exact"/>
        <w:ind w:left="0" w:right="0" w:firstLine="576"/>
        <w:jc w:val="left"/>
      </w:pPr>
      <w:r>
        <w:rPr/>
        <w:t xml:space="preserve">(ii) Signed by all owners of the property, with all signatures acknowledged as required for a deed, and recorded in the county where the property is located;</w:t>
      </w:r>
    </w:p>
    <w:p>
      <w:pPr>
        <w:spacing w:before="0" w:after="0" w:line="408" w:lineRule="exact"/>
        <w:ind w:left="0" w:right="0" w:firstLine="576"/>
        <w:jc w:val="left"/>
      </w:pPr>
      <w:r>
        <w:rPr/>
        <w:t xml:space="preserve">(iii) Binding on all successors in title after the recordation; and</w:t>
      </w:r>
    </w:p>
    <w:p>
      <w:pPr>
        <w:spacing w:before="0" w:after="0" w:line="408" w:lineRule="exact"/>
        <w:ind w:left="0" w:right="0" w:firstLine="576"/>
        <w:jc w:val="left"/>
      </w:pPr>
      <w:r>
        <w:rPr/>
        <w:t xml:space="preserve">(iv) Junior and subordinate to one mortgage for the purpose of construction upon the same real property granted by the person who applied for the deferral of impact fees.</w:t>
      </w:r>
    </w:p>
    <w:p>
      <w:pPr>
        <w:spacing w:before="0" w:after="0" w:line="408" w:lineRule="exact"/>
        <w:ind w:left="0" w:right="0" w:firstLine="576"/>
        <w:jc w:val="left"/>
      </w:pPr>
      <w:r>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spacing w:before="0" w:after="0" w:line="408" w:lineRule="exact"/>
        <w:ind w:left="0" w:right="0" w:firstLine="576"/>
        <w:jc w:val="left"/>
      </w:pPr>
      <w:r>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spacing w:before="0" w:after="0" w:line="408" w:lineRule="exact"/>
        <w:ind w:left="0" w:right="0" w:firstLine="576"/>
        <w:jc w:val="left"/>
      </w:pPr>
      <w:r>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spacing w:before="0" w:after="0" w:line="408" w:lineRule="exact"/>
        <w:ind w:left="0" w:right="0" w:firstLine="576"/>
        <w:jc w:val="left"/>
      </w:pPr>
      <w:r>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p>
    <w:p>
      <w:pPr>
        <w:spacing w:before="0" w:after="0" w:line="408" w:lineRule="exact"/>
        <w:ind w:left="0" w:right="0" w:firstLine="576"/>
        <w:jc w:val="left"/>
      </w:pPr>
      <w:r>
        <w:rPr/>
        <w:t xml:space="preserve">(f) A county, city, or town with an impact fee deferral process on or before April 1, 2015, is exempt from the requirements of this subsection (3) if the deferral process delays all impact fees and remains in effect after September 1, 2016.</w:t>
      </w:r>
    </w:p>
    <w:p>
      <w:pPr>
        <w:spacing w:before="0" w:after="0" w:line="408" w:lineRule="exact"/>
        <w:ind w:left="0" w:right="0" w:firstLine="576"/>
        <w:jc w:val="left"/>
      </w:pPr>
      <w:r>
        <w:rPr/>
        <w:t xml:space="preserve">(g)(i)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spacing w:before="0" w:after="0" w:line="408" w:lineRule="exact"/>
        <w:ind w:left="0" w:right="0" w:firstLine="576"/>
        <w:jc w:val="left"/>
      </w:pPr>
      <w:r>
        <w:rPr/>
        <w:t xml:space="preserve">(ii) For purposes of this subsection (3)(g), an "applicant" includes an entity that controls the applicant, is controlled by the applicant, or is under common control with the applicant.</w:t>
      </w:r>
    </w:p>
    <w:p>
      <w:pPr>
        <w:spacing w:before="0" w:after="0" w:line="408" w:lineRule="exact"/>
        <w:ind w:left="0" w:right="0" w:firstLine="576"/>
        <w:jc w:val="left"/>
      </w:pPr>
      <w:r>
        <w:rPr/>
        <w:t xml:space="preserve">(h) Counties, cities, and towns may collect reasonable administrative fees to implement this subsection (3) from permit applicants who are seeking to delay the payment of impact fees under this subsection (3).</w:t>
      </w:r>
    </w:p>
    <w:p>
      <w:pPr>
        <w:spacing w:before="0" w:after="0" w:line="408" w:lineRule="exact"/>
        <w:ind w:left="0" w:right="0" w:firstLine="576"/>
        <w:jc w:val="left"/>
      </w:pPr>
      <w:r>
        <w:rPr/>
        <w:t xml:space="preserve">(i) In accordance with RCW </w:t>
      </w:r>
      <w:r>
        <w:t>((</w:t>
      </w:r>
      <w:r>
        <w:rPr>
          <w:strike/>
        </w:rPr>
        <w:t xml:space="preserve">44.28.812 and</w:t>
      </w:r>
      <w:r>
        <w:t>))</w:t>
      </w:r>
      <w:r>
        <w:rPr/>
        <w:t xml:space="preserve"> 43.31.980, counties, cities, and towns must cooperate with and provide requested data, materials, and assistance to the department of commerce and the joint legislative audit and review committee.</w:t>
      </w:r>
    </w:p>
    <w:p>
      <w:pPr>
        <w:spacing w:before="0" w:after="0" w:line="408" w:lineRule="exact"/>
        <w:ind w:left="0" w:right="0" w:firstLine="576"/>
        <w:jc w:val="left"/>
      </w:pPr>
      <w:r>
        <w:rPr/>
        <w:t xml:space="preserve">(4)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rPr/>
        <w:t xml:space="preserve">(5)(a)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is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(i)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(ii) Additional demands placed on existing public facilities by new development; and</w:t>
      </w:r>
    </w:p>
    <w:p>
      <w:pPr>
        <w:spacing w:before="0" w:after="0" w:line="408" w:lineRule="exact"/>
        <w:ind w:left="0" w:right="0" w:firstLine="576"/>
        <w:jc w:val="left"/>
      </w:pPr>
      <w:r>
        <w:rPr/>
        <w:t xml:space="preserve">(iii) Additional public facility improvements required to serve new development.</w:t>
      </w:r>
    </w:p>
    <w:p>
      <w:pPr>
        <w:spacing w:before="0" w:after="0" w:line="408" w:lineRule="exact"/>
        <w:ind w:left="0" w:right="0" w:firstLine="576"/>
        <w:jc w:val="left"/>
      </w:pPr>
      <w:r>
        <w:rPr/>
        <w:t xml:space="preserve">(b)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0" w:after="0" w:line="408" w:lineRule="exact"/>
        <w:ind w:left="0" w:right="0" w:firstLine="576"/>
        <w:jc w:val="left"/>
      </w:pPr>
      <w:r>
        <w:rPr>
          <w:u w:val="single"/>
        </w:rPr>
        <w:t xml:space="preserve">(6) Any update or amendment to an impact fee schedule adopted pursuant to RCW 82.02.060 may not increase the impact fee imposed by the schedule by a percentage greater than the percentage increase in the consumer price index in the time since the schedule was last adopted, updated, or amended. For purposes of this subsection, "consumer price index" means the average consumer price index for the most recent 12-month period, Seattle, Washington area, for urban wage earners and clerical workers, all items, compiled by the bureau of labor and statistics, United States department of labor.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070</w:t>
      </w:r>
      <w:r>
        <w:rPr/>
        <w:t xml:space="preserve"> and 2011 c 353 s 8 are each amended to read as follows:</w:t>
      </w:r>
    </w:p>
    <w:p>
      <w:pPr>
        <w:spacing w:before="0" w:after="0" w:line="408" w:lineRule="exact"/>
        <w:ind w:left="0" w:right="0" w:firstLine="576"/>
        <w:jc w:val="left"/>
      </w:pPr>
      <w:r>
        <w:rPr/>
        <w:t xml:space="preserve">(1) Impact fee receipts shall be earmarked specifically and retained in special interest-bearing accounts. Separate accounts shall be established for each type of public facility for which impact fees are collected. All interest shall be retained in the account and expended for the purpose or purposes for which the impact fees were imposed. </w:t>
      </w:r>
      <w:r>
        <w:t>((</w:t>
      </w:r>
      <w:r>
        <w:rPr>
          <w:strike/>
        </w:rPr>
        <w:t xml:space="preserve">Annually</w:t>
      </w:r>
      <w:r>
        <w:t>))</w:t>
      </w:r>
      <w:r>
        <w:rPr/>
        <w:t xml:space="preserve"> </w:t>
      </w:r>
      <w:r>
        <w:rPr>
          <w:u w:val="single"/>
        </w:rPr>
        <w:t xml:space="preserve">By July 1st of each year</w:t>
      </w:r>
      <w:r>
        <w:rPr/>
        <w:t xml:space="preserve">, each county, city, or town imposing impact fees shall provide a report </w:t>
      </w:r>
      <w:r>
        <w:rPr>
          <w:u w:val="single"/>
        </w:rPr>
        <w:t xml:space="preserve">to the department of commerce</w:t>
      </w:r>
      <w:r>
        <w:rPr/>
        <w:t xml:space="preserve"> on each impact fee account showing the source and amount of all moneys collected, earned, or received and system improvements that were financed in whole or in part by impact fees </w:t>
      </w:r>
      <w:r>
        <w:rPr>
          <w:u w:val="single"/>
        </w:rPr>
        <w:t xml:space="preserve">over the prior calendar year. The department of commerce must produce an annual report by December 1st of each year compiling the information received from jurisdictions imposing impact fees</w:t>
      </w:r>
      <w:r>
        <w:rPr/>
        <w:t xml:space="preserve">.</w:t>
      </w:r>
    </w:p>
    <w:p>
      <w:pPr>
        <w:spacing w:before="0" w:after="0" w:line="408" w:lineRule="exact"/>
        <w:ind w:left="0" w:right="0" w:firstLine="576"/>
        <w:jc w:val="left"/>
      </w:pPr>
      <w:r>
        <w:rPr/>
        <w:t xml:space="preserve">(2) Impact fees for system improvements shall be expended only in conformance with the capital facilities plan element of the comprehensive plan.</w:t>
      </w:r>
    </w:p>
    <w:p>
      <w:pPr>
        <w:spacing w:before="0" w:after="0" w:line="408" w:lineRule="exact"/>
        <w:ind w:left="0" w:right="0" w:firstLine="576"/>
        <w:jc w:val="left"/>
      </w:pPr>
      <w:r>
        <w:rPr/>
        <w:t xml:space="preserve">(3)(a) Except as provided otherwise by (b) of this subsection, impact fees shall be expended or encumbered for a permissible use within ten years of receipt, unless there exists an extraordinary and compelling reason for fees to be held longer than ten years. Such extraordinary or compelling reasons shall be identified in written findings by the governing body of the county, city, or town.</w:t>
      </w:r>
    </w:p>
    <w:p>
      <w:pPr>
        <w:spacing w:before="0" w:after="0" w:line="408" w:lineRule="exact"/>
        <w:ind w:left="0" w:right="0" w:firstLine="576"/>
        <w:jc w:val="left"/>
      </w:pPr>
      <w:r>
        <w:rPr/>
        <w:t xml:space="preserve">(b) School impact fees must be expended or encumbered for a permissible use within ten years of receipt, unless there exists an extraordinary and compelling reason for fees to be held longer than ten years. Such extraordinary or compelling reasons shall be identified in written findings by the governing body of the county, city, or town.</w:t>
      </w:r>
    </w:p>
    <w:p>
      <w:pPr>
        <w:spacing w:before="0" w:after="0" w:line="408" w:lineRule="exact"/>
        <w:ind w:left="0" w:right="0" w:firstLine="576"/>
        <w:jc w:val="left"/>
      </w:pPr>
      <w:r>
        <w:rPr/>
        <w:t xml:space="preserve">(4) Impact fees may be paid under protest in order to obtain a permit or other approval of development activity.</w:t>
      </w:r>
    </w:p>
    <w:p>
      <w:pPr>
        <w:spacing w:before="0" w:after="0" w:line="408" w:lineRule="exact"/>
        <w:ind w:left="0" w:right="0" w:firstLine="576"/>
        <w:jc w:val="left"/>
      </w:pPr>
      <w:r>
        <w:rPr/>
        <w:t xml:space="preserve">(5) Each county, city, or town that imposes impact fees shall provide for an administrative appeals process for the appeal of an impact fee; the process may follow the appeal process for the underlying development approval or the county, city, or town may establish a separate appeals process. The impact fee may be modified upon a determination that it is proper to do so based on principles of fairness. The county, city, or town may provide for the resolution of disputes regarding impact fees by arbitration.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980</w:t>
      </w:r>
      <w:r>
        <w:rPr/>
        <w:t xml:space="preserve"> and 2015 c 241 s 4 are each amended to read as follows:</w:t>
      </w:r>
    </w:p>
    <w:p>
      <w:pPr>
        <w:spacing w:before="0" w:after="0" w:line="408" w:lineRule="exact"/>
        <w:ind w:left="0" w:right="0" w:firstLine="576"/>
        <w:jc w:val="left"/>
      </w:pPr>
      <w:r>
        <w:rPr/>
        <w:t xml:space="preserve">(1) Beginning December 1, 2018, and each year thereafter, the department of commerce must prepare an annual report on the impact fee deferral process established in RCW 82.02.050(3). The report must include: (a) The number of deferrals requested of and issued by counties, cities, and towns; (b) the number of deferrals that were not fully and timely paid; and (c) other information as deemed appropriate.</w:t>
      </w:r>
    </w:p>
    <w:p>
      <w:pPr>
        <w:spacing w:before="0" w:after="0" w:line="408" w:lineRule="exact"/>
        <w:ind w:left="0" w:right="0" w:firstLine="576"/>
        <w:jc w:val="left"/>
      </w:pPr>
      <w:r>
        <w:rPr/>
        <w:t xml:space="preserve">(2) </w:t>
      </w:r>
      <w:r>
        <w:rPr>
          <w:u w:val="single"/>
        </w:rPr>
        <w:t xml:space="preserve">The department of commerce must also compile an annual report by December 1st of each year compiling the information it has received under RCW 82.02.070 from each jurisdiction imposing impact fees.</w:t>
      </w:r>
    </w:p>
    <w:p>
      <w:pPr>
        <w:spacing w:before="0" w:after="0" w:line="408" w:lineRule="exact"/>
        <w:ind w:left="0" w:right="0" w:firstLine="576"/>
        <w:jc w:val="left"/>
      </w:pPr>
      <w:r>
        <w:rPr>
          <w:u w:val="single"/>
        </w:rPr>
        <w:t xml:space="preserve">(3)</w:t>
      </w:r>
      <w:r>
        <w:rPr/>
        <w:t xml:space="preserve"> The report</w:t>
      </w:r>
      <w:r>
        <w:rPr>
          <w:u w:val="single"/>
        </w:rPr>
        <w:t xml:space="preserve">s</w:t>
      </w:r>
      <w:r>
        <w:rPr/>
        <w:t xml:space="preserve"> required by this section must, in accordance with RCW 43.01.036, be submitted to the appropriate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2023 c 228 s 3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and green spaces, urban and community forests within the urban growth area,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The land use element must give special consideration to achieving environmental justice in its goals and policies, including efforts to avoid creating or worsening environmental health disparities. Wherever possible, the land use element should consider utilizing urban planning approaches that promote physical activity and reduce per capita vehicle miles traveled within the jurisdiction, but without increasing greenhouse gas emissions elsewhere in the state.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The land use element must reduce and mitigate the risk to lives and property posed by wildfires by using land use planning tools, which may include, but are not limited to, adoption of portions or all of the wildland urban interface code developed by the international code council or developing building and maintenance standards consistent with the firewise USA program or similar program designed to reduce wildfire risk, reducing wildfire risks to residential development in high risk areas and the wildland urban interface area, separating human development from wildfire prone landscapes, and protecting existing residential development and infrastructure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including green infrastructure,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w:t>
      </w:r>
      <w:r>
        <w:rPr>
          <w:u w:val="single"/>
        </w:rPr>
        <w:t xml:space="preserve">, including the intended use to which any impact fees imposed pursuant to RCW 82.02.050 will be put</w:t>
      </w:r>
      <w:r>
        <w:rPr/>
        <w:t xml:space="preserve">;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The county or city shall identify all public entities that own capital facilities and endeavor in good faith to work with other public entities, such as special purpose districts, to gather and include within its capital facilities element the information required by this subsection. If, after a good faith effort, the county or city is unable to gather the information required by this subsection from the other public entities, the failure to include such information in its capital facilities element cannot be grounds for a finding of noncompliance or invalidity under chapter 228, Laws of 2023.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(4)(a) A utilities element consisting of the general location, proposed location, and capacity of all existing and proposed utilities including, but not limited to, electrical, telecommunications, and natural gas systems.</w:t>
      </w:r>
    </w:p>
    <w:p>
      <w:pPr>
        <w:spacing w:before="0" w:after="0" w:line="408" w:lineRule="exact"/>
        <w:ind w:left="0" w:right="0" w:firstLine="576"/>
        <w:jc w:val="left"/>
      </w:pPr>
      <w:r>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chapter 228, Laws of 2023.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(23)</w:t>
      </w:r>
      <w:r>
        <w:t>))</w:t>
      </w:r>
      <w:r>
        <w:rPr/>
        <w:t xml:space="preserve"> </w:t>
      </w:r>
      <w:r>
        <w:rPr>
          <w:u w:val="single"/>
        </w:rPr>
        <w:t xml:space="preserve">(35)</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(23)</w:t>
      </w:r>
      <w:r>
        <w:t>))</w:t>
      </w:r>
      <w:r>
        <w:rPr/>
        <w:t xml:space="preserve"> </w:t>
      </w:r>
      <w:r>
        <w:rPr>
          <w:u w:val="single"/>
        </w:rPr>
        <w:t xml:space="preserve">(35)</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multimodal level of service impacts to state-owned transportation facilities resulting from land use assumptions to assist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active transportation facilities, and general aviation airport facilities, to define existing capital facilities and travel levels to inform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Multimodal level of service standards for all locally owned arterials, locally and regionally operated transit routes that serve urban growth areas, state-owned or operated transit routes that serve urban areas if the department of transportation has prepared such standards, and active transportation facilities to serve as a gauge to judge performance of the system and success in helping to achieve the goals of this chapter consistent with environmental justice. These standards should be regionally coordinated;</w:t>
      </w:r>
    </w:p>
    <w:p>
      <w:pPr>
        <w:spacing w:before="0" w:after="0" w:line="408" w:lineRule="exact"/>
        <w:ind w:left="0" w:right="0" w:firstLine="576"/>
        <w:jc w:val="left"/>
      </w:pPr>
      <w:r>
        <w:rPr/>
        <w:t xml:space="preserve">(C) For state-owned transportation facilities, multimodal level of service standards for highways, as prescribed in chapters 47.06 and 47.80 RCW, to gauge the performance of the system. The purposes of reflecting multimodal level of service standards for state highways in the local comprehensive plan are to monitor the performance of the system, to evaluate improvement strategies, and to facilitate coordination between the county's or city's six-year street, road, active transportation,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transportation facilities or services that are below an established multimodal level of service standard;</w:t>
      </w:r>
    </w:p>
    <w:p>
      <w:pPr>
        <w:spacing w:before="0" w:after="0" w:line="408" w:lineRule="exact"/>
        <w:ind w:left="0" w:right="0" w:firstLine="576"/>
        <w:jc w:val="left"/>
      </w:pPr>
      <w:r>
        <w:rPr/>
        <w:t xml:space="preserve">(E) Forecasts of multimodal transportation demand and needs within cities and urban growth areas, and forecasts of multimodal transportation demand and needs outside of cities and urban growth areas, for at least ten years based on the adopted land use plan to 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each category of roadway users for the context and speed of the facility;</w:t>
      </w:r>
    </w:p>
    <w:p>
      <w:pPr>
        <w:spacing w:before="0" w:after="0" w:line="408" w:lineRule="exact"/>
        <w:ind w:left="0" w:right="0" w:firstLine="576"/>
        <w:jc w:val="left"/>
      </w:pPr>
      <w:r>
        <w:rPr/>
        <w:t xml:space="preserve">(F) Identification of state and local system needs to equitably meet current and future demands. Identified needs on state-owned transportation facilities must be consistent with the statewide multimodal transportation plan required under chapter 47.06 RCW. Local system needs should reflect the regional transportation system and local goals, and strive to equitably implement the multimodal network;</w:t>
      </w:r>
    </w:p>
    <w:p>
      <w:pPr>
        <w:spacing w:before="0" w:after="0" w:line="408" w:lineRule="exact"/>
        <w:ind w:left="0" w:right="0" w:firstLine="576"/>
        <w:jc w:val="left"/>
      </w:pPr>
      <w:r>
        <w:rPr/>
        <w:t xml:space="preserve">(G) A transition plan for transportation as required in Title II of the Americans with disabilities act of 1990 (ADA).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t xml:space="preserve">(I) Identify physical obstacles that limit the accessibility of facilities to individuals with disabilities;</w:t>
      </w:r>
    </w:p>
    <w:p>
      <w:pPr>
        <w:spacing w:before="0" w:after="0" w:line="408" w:lineRule="exact"/>
        <w:ind w:left="0" w:right="0" w:firstLine="576"/>
        <w:jc w:val="left"/>
      </w:pPr>
      <w:r>
        <w:rPr/>
        <w:t xml:space="preserve">(II) Describe the methods to be used to make the facilities accessible;</w:t>
      </w:r>
    </w:p>
    <w:p>
      <w:pPr>
        <w:spacing w:before="0" w:after="0" w:line="408" w:lineRule="exact"/>
        <w:ind w:left="0" w:right="0" w:firstLine="576"/>
        <w:jc w:val="left"/>
      </w:pPr>
      <w:r>
        <w:rPr/>
        <w:t xml:space="preserve">(III) Provide a schedule for making the access modifications; and</w:t>
      </w:r>
    </w:p>
    <w:p>
      <w:pPr>
        <w:spacing w:before="0" w:after="0" w:line="408" w:lineRule="exact"/>
        <w:ind w:left="0" w:right="0" w:firstLine="576"/>
        <w:jc w:val="left"/>
      </w:pPr>
      <w:r>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the identified needs of the transportation system, including state transportation facilities,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Active transportation component to include collaborative efforts to identify and designate planned improvements for active transportation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or locally or regionally operated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active transportation facility improvements, increased or enhanced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(c) an evaluation of tree canopy coverage within the urban growth area; and (d)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t xml:space="preserve">(b) The climate change and resiliency element shall include the following subelements:</w:t>
      </w:r>
    </w:p>
    <w:p>
      <w:pPr>
        <w:spacing w:before="0" w:after="0" w:line="408" w:lineRule="exact"/>
        <w:ind w:left="0" w:right="0" w:firstLine="576"/>
        <w:jc w:val="left"/>
      </w:pPr>
      <w:r>
        <w:rPr/>
        <w:t xml:space="preserve">(i) A greenhouse gas emissions reduction subelement;</w:t>
      </w:r>
    </w:p>
    <w:p>
      <w:pPr>
        <w:spacing w:before="0" w:after="0" w:line="408" w:lineRule="exact"/>
        <w:ind w:left="0" w:right="0" w:firstLine="576"/>
        <w:jc w:val="left"/>
      </w:pPr>
      <w:r>
        <w:rPr/>
        <w:t xml:space="preserve">(ii) A resiliency subelement.</w:t>
      </w:r>
    </w:p>
    <w:p>
      <w:pPr>
        <w:spacing w:before="0" w:after="0" w:line="408" w:lineRule="exact"/>
        <w:ind w:left="0" w:right="0" w:firstLine="576"/>
        <w:jc w:val="left"/>
      </w:pPr>
      <w:r>
        <w:rPr/>
        <w:t xml:space="preserve">(c) The greenhouse gas emissions reduction subelement of the climate change and resiliency element is mandatory for the jurisdictions specified in RCW 36.70A.095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RCW 70A.45.120 that will:</w:t>
      </w:r>
    </w:p>
    <w:p>
      <w:pPr>
        <w:spacing w:before="0" w:after="0" w:line="408" w:lineRule="exact"/>
        <w:ind w:left="0" w:right="0" w:firstLine="576"/>
        <w:jc w:val="left"/>
      </w:pPr>
      <w:r>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t xml:space="preserve">(C) Prioritize reductions that benefit overburdened communities in order to maximize the cobenefits of reduced air pollution and environmental justice.</w:t>
      </w:r>
    </w:p>
    <w:p>
      <w:pPr>
        <w:spacing w:before="0" w:after="0" w:line="408" w:lineRule="exact"/>
        <w:ind w:left="0" w:right="0" w:firstLine="576"/>
        <w:jc w:val="left"/>
      </w:pPr>
      <w:r>
        <w:rPr/>
        <w:t xml:space="preserve">(ii) Actions not specifically identified in the guidelines developed by the department pursuant to RCW 70A.45.120 may be considered consistent with these guidelines only if:</w:t>
      </w:r>
    </w:p>
    <w:p>
      <w:pPr>
        <w:spacing w:before="0" w:after="0" w:line="408" w:lineRule="exact"/>
        <w:ind w:left="0" w:right="0" w:firstLine="576"/>
        <w:jc w:val="left"/>
      </w:pPr>
      <w:r>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t xml:space="preserve">(ii) A natural hazard mitigation plan or similar plan that is guided by RCW 36.70A.020(14), that prioritizes actions that benefit overburdened communities,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t xml:space="preserve">(F) The adoption of ordinances, amendments to comprehensive plans, amendments to development regulations, and other nonproject actions taken by a county or city pursuant to (d) of this subsection in order to implement measures specified by the department pursuant to RCW 70A.45.120 are not subject to administrative or judicial appeal under chapter 43.21C RCW.</w:t>
      </w:r>
    </w:p>
    <w:p>
      <w:pPr>
        <w:spacing w:before="0" w:after="0" w:line="408" w:lineRule="exact"/>
        <w:ind w:left="0" w:right="0" w:firstLine="576"/>
        <w:jc w:val="left"/>
      </w:pPr>
      <w:r>
        <w:rPr/>
        <w:t xml:space="preserve">(10)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 seller of improved residential real property who has paid an impact fee imposed pursuant to RCW 82.02.050 related to the property shall disclose to the buyer the amount of the impact fee that was paid and the local government to which the fee was paid.</w:t>
      </w:r>
    </w:p>
    <w:p>
      <w:pPr>
        <w:spacing w:before="0" w:after="0" w:line="408" w:lineRule="exact"/>
        <w:ind w:left="0" w:right="0" w:firstLine="576"/>
        <w:jc w:val="left"/>
      </w:pPr>
      <w:r>
        <w:rPr/>
        <w:t xml:space="preserve">(2) A seller's failure to provide the information required in this section does not give rise to any new right or remedy for the buyer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070</w:t>
      </w:r>
      <w:r>
        <w:rPr/>
        <w:t xml:space="preserve"> and 2010 c 64 s 7 are each amended to read as follows:</w:t>
      </w:r>
    </w:p>
    <w:p>
      <w:pPr>
        <w:spacing w:before="0" w:after="0" w:line="408" w:lineRule="exact"/>
        <w:ind w:left="0" w:right="0" w:firstLine="576"/>
        <w:jc w:val="left"/>
      </w:pPr>
      <w:r>
        <w:rPr/>
        <w:t xml:space="preserve">Except as provided in RCW 64.06.050 </w:t>
      </w:r>
      <w:r>
        <w:rPr>
          <w:u w:val="single"/>
        </w:rPr>
        <w:t xml:space="preserve">and in section 5 of this act</w:t>
      </w:r>
      <w:r>
        <w:rPr/>
        <w:t xml:space="preserve">, nothing in this chapter shall extinguish or impair any rights or remedies of a buyer of real estate against the seller or against any agent acting for the seller otherwise existing pursuant to common law, statute, or contract; nor shall anything in this chapter create any new right or remedy for a buyer of real property other than the right of recision exercised on the basis and within the time limits provided in this chapter.</w:t>
      </w:r>
    </w:p>
    <w:p/>
    <w:p>
      <w:pPr>
        <w:jc w:val="center"/>
      </w:pPr>
      <w:r>
        <w:rPr>
          <w:b/>
        </w:rPr>
        <w:t>--- END ---</w:t>
      </w:r>
    </w:p>
    <w:sectPr>
      <w:pgNumType w:start="1"/>
      <w:footerReference xmlns:r="http://schemas.openxmlformats.org/officeDocument/2006/relationships" r:id="R18c29fd549174b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59848dbdd74751" /><Relationship Type="http://schemas.openxmlformats.org/officeDocument/2006/relationships/footer" Target="/word/footer1.xml" Id="R18c29fd549174ba1" /></Relationships>
</file>