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6bce34d7c4f35" /></Relationships>
</file>

<file path=word/document.xml><?xml version="1.0" encoding="utf-8"?>
<w:document xmlns:w="http://schemas.openxmlformats.org/wordprocessingml/2006/main">
  <w:body>
    <w:p>
      <w:r>
        <w:t>S-4374.1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6306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Fortunato and Padden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medical malpractice insurance coverage for health care providers who perform an abortion; and amending RCW 9.02.110.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110</w:t>
      </w:r>
      <w:r>
        <w:rPr/>
        <w:t xml:space="preserve"> and 2022 c 65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The state may not deny or interfere with a pregnant individual's right to choose to have an abortion prior to viability of the fetus, or to protect the pregnant individual's life or health.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A physician, physician assistant, advanced registered nurse practitioner, or other health care provider acting within the provider's scope of practice may terminate and a health care provider may assist a physician, physician assistant, advanced registered nurse practitioner, or other health care provider acting within the provider's scope of practice in terminating a pregnancy as permitted by this section.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A physician assistant, advanced registered nurse practitioner, or any other health care provider that is not a licensed physician must carry a medical malpractice insurance policy providing liability limits of at least $1,000,000 per occurrence or claim prior to terminating a pregnancy as permitted by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465bb014482499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6306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e9de3d69348fc" /><Relationship Type="http://schemas.openxmlformats.org/officeDocument/2006/relationships/footer" Target="/word/footer1.xml" Id="R0465bb0144824992" /></Relationships>
</file>