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a2ee4ff1f47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5041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5041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5041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Lovick, King, and Liias; by request of Department of Licensing</w:t>
      </w:r>
    </w:p>
    <w:p/>
    <w:p>
      <w:r>
        <w:rPr>
          <w:t xml:space="preserve">Prefiled 12/12/22.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federal motor carrier safety administration requirements for the drug and alcohol clearinghouse; amending RCW 46.25.052, 46.25.060, 46.25.088, 46.25.100, 46.25.090, 46.25.120, and 46.20.324; reenacting and amending RCW 46.25.010; adding a new section to chapter 46.25 RCW; repealing RCW 46.25.123 and 46.25.125;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2019 c 195 s 1 and 2019 c 44 s 3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w:t>
      </w:r>
      <w:r>
        <w:t>((</w:t>
      </w:r>
      <w:r>
        <w:rPr>
          <w:strike/>
        </w:rPr>
        <w:t xml:space="preserve">sixteen</w:t>
      </w:r>
      <w:r>
        <w:t>))</w:t>
      </w:r>
      <w:r>
        <w:rPr/>
        <w:t xml:space="preserve"> </w:t>
      </w:r>
      <w:r>
        <w:rPr>
          <w:u w:val="single"/>
        </w:rPr>
        <w:t xml:space="preserve">16</w:t>
      </w:r>
      <w:r>
        <w:rPr/>
        <w:t xml:space="preserve">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w:t>
      </w:r>
      <w:r>
        <w:t>((</w:t>
      </w:r>
      <w:r>
        <w:rPr>
          <w:strike/>
        </w:rPr>
        <w:t xml:space="preserve">one hundred nineteen</w:t>
      </w:r>
      <w:r>
        <w:t>))</w:t>
      </w:r>
      <w:r>
        <w:rPr/>
        <w:t xml:space="preserve"> </w:t>
      </w:r>
      <w:r>
        <w:rPr>
          <w:u w:val="single"/>
        </w:rPr>
        <w:t xml:space="preserve">119</w:t>
      </w:r>
      <w:r>
        <w:rPr/>
        <w:t xml:space="preserve"> gallons and an aggregate rated capacity of </w:t>
      </w:r>
      <w:r>
        <w:t>((</w:t>
      </w:r>
      <w:r>
        <w:rPr>
          <w:strike/>
        </w:rPr>
        <w:t xml:space="preserve">one thousand</w:t>
      </w:r>
      <w:r>
        <w:t>))</w:t>
      </w:r>
      <w:r>
        <w:rPr/>
        <w:t xml:space="preserve"> </w:t>
      </w:r>
      <w:r>
        <w:rPr>
          <w:u w:val="single"/>
        </w:rPr>
        <w:t xml:space="preserve">1,000</w:t>
      </w:r>
      <w:r>
        <w:rPr/>
        <w:t xml:space="preserve"> gallons or more that is either permanently or temporarily attached to the vehicle or the chassis. A commercial motor vehicle transporting an empty storage container tank, not designed for transportation, with a rated capacity of </w:t>
      </w:r>
      <w:r>
        <w:t>((</w:t>
      </w:r>
      <w:r>
        <w:rPr>
          <w:strike/>
        </w:rPr>
        <w:t xml:space="preserve">one thousand</w:t>
      </w:r>
      <w:r>
        <w:t>))</w:t>
      </w:r>
      <w:r>
        <w:rPr/>
        <w:t xml:space="preserve"> </w:t>
      </w:r>
      <w:r>
        <w:rPr>
          <w:u w:val="single"/>
        </w:rPr>
        <w:t xml:space="preserve">1,000</w:t>
      </w:r>
      <w:r>
        <w:rPr/>
        <w:t xml:space="preserve">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April 30, 2019, or such subsequent date as may be provided by the department by rule, consistent with the purposes of this section, and is required to obtain a medical examiner's certificate under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April 30, 2019, or such subsequent date as may be provided by the department by rule, consistent with the purposes of this section, from all or parts of the qualification requirements of 49 C.F.R. Part 391 as it existed on April 30, 2019, or such subsequent date as may be provided by the department by rule, consistent with the purposes of this section, and is required to obtain a medical examiner's certificate in accordance with procedures provided in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required to obtain a medical examiner's certificate in accordance with procedures provided in 49 C.F.R. Sec. 391.45 as it existed on April 30, 2019, or such subsequent date as may be provided by the department by rule, consistent with the purposes of this section; or</w:t>
      </w:r>
    </w:p>
    <w:p>
      <w:pPr>
        <w:spacing w:before="0" w:after="0" w:line="408" w:lineRule="exact"/>
        <w:ind w:left="0" w:right="0" w:firstLine="576"/>
        <w:jc w:val="left"/>
      </w:pPr>
      <w:r>
        <w:rPr/>
        <w:t xml:space="preserve">(d) "Excepted intrastate," which means the CDL or CLP holder wishes to maintain a CDL or CLP but not operate a commercial motor vehicle without changing his or her self-certification type.</w:t>
      </w:r>
    </w:p>
    <w:p>
      <w:pPr>
        <w:spacing w:before="0" w:after="0" w:line="408" w:lineRule="exact"/>
        <w:ind w:left="0" w:right="0" w:firstLine="576"/>
        <w:jc w:val="left"/>
      </w:pPr>
      <w:r>
        <w:rPr/>
        <w:t xml:space="preserve">(24) "United States" means the </w:t>
      </w:r>
      <w:r>
        <w:t>((</w:t>
      </w:r>
      <w:r>
        <w:rPr>
          <w:strike/>
        </w:rPr>
        <w:t xml:space="preserve">fifty</w:t>
      </w:r>
      <w:r>
        <w:t>))</w:t>
      </w:r>
      <w:r>
        <w:rPr/>
        <w:t xml:space="preserve"> </w:t>
      </w:r>
      <w:r>
        <w:rPr>
          <w:u w:val="single"/>
        </w:rPr>
        <w:t xml:space="preserve">50</w:t>
      </w:r>
      <w:r>
        <w:rPr/>
        <w:t xml:space="preserve"> states and the District of Columbia.</w:t>
      </w:r>
    </w:p>
    <w:p>
      <w:pPr>
        <w:spacing w:before="0" w:after="0" w:line="408" w:lineRule="exact"/>
        <w:ind w:left="0" w:right="0" w:firstLine="576"/>
        <w:jc w:val="left"/>
      </w:pPr>
      <w:r>
        <w:rPr/>
        <w:t xml:space="preserve">(25) </w:t>
      </w:r>
      <w:r>
        <w:t>((</w:t>
      </w:r>
      <w:r>
        <w:rPr>
          <w:strike/>
        </w:rPr>
        <w:t xml:space="preserve">"Verified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strike/>
        </w:rPr>
        <w:t xml:space="preserve">(a) Indicates a drug concentration at or above the cutoff concentration established under 49 C.F.R. Sec. 40.87; and</w:t>
      </w:r>
    </w:p>
    <w:p>
      <w:pPr>
        <w:spacing w:before="0" w:after="0" w:line="408" w:lineRule="exact"/>
        <w:ind w:left="0" w:right="0" w:firstLine="576"/>
        <w:jc w:val="left"/>
      </w:pPr>
      <w:r>
        <w:rPr>
          <w:strike/>
        </w:rPr>
        <w:t xml:space="preserve">(b) Has undergone review and final determination by a medical review officer.</w:t>
      </w:r>
    </w:p>
    <w:p>
      <w:pPr>
        <w:spacing w:before="0" w:after="0" w:line="408" w:lineRule="exact"/>
        <w:ind w:left="0" w:right="0" w:firstLine="576"/>
        <w:jc w:val="left"/>
      </w:pPr>
      <w:r>
        <w:rPr>
          <w:strike/>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strike/>
        </w:rPr>
        <w:t xml:space="preserve">(26)</w:t>
      </w:r>
      <w:r>
        <w:t>))</w:t>
      </w:r>
      <w:r>
        <w:rPr/>
        <w:t xml:space="preserve"> "Collector truck" means a vehicle that:</w:t>
      </w:r>
    </w:p>
    <w:p>
      <w:pPr>
        <w:spacing w:before="0" w:after="0" w:line="408" w:lineRule="exact"/>
        <w:ind w:left="0" w:right="0" w:firstLine="576"/>
        <w:jc w:val="left"/>
      </w:pPr>
      <w:r>
        <w:rPr/>
        <w:t xml:space="preserve">(a) Has current registration;</w:t>
      </w:r>
    </w:p>
    <w:p>
      <w:pPr>
        <w:spacing w:before="0" w:after="0" w:line="408" w:lineRule="exact"/>
        <w:ind w:left="0" w:right="0" w:firstLine="576"/>
        <w:jc w:val="left"/>
      </w:pPr>
      <w:r>
        <w:rPr/>
        <w:t xml:space="preserve">(b) Is older than </w:t>
      </w:r>
      <w:r>
        <w:t>((</w:t>
      </w:r>
      <w:r>
        <w:rPr>
          <w:strike/>
        </w:rPr>
        <w:t xml:space="preserve">thirty</w:t>
      </w:r>
      <w:r>
        <w:t>))</w:t>
      </w:r>
      <w:r>
        <w:rPr/>
        <w:t xml:space="preserve"> </w:t>
      </w:r>
      <w:r>
        <w:rPr>
          <w:u w:val="single"/>
        </w:rPr>
        <w:t xml:space="preserve">30</w:t>
      </w:r>
      <w:r>
        <w:rPr/>
        <w:t xml:space="preserve"> years old;</w:t>
      </w:r>
    </w:p>
    <w:p>
      <w:pPr>
        <w:spacing w:before="0" w:after="0" w:line="408" w:lineRule="exact"/>
        <w:ind w:left="0" w:right="0" w:firstLine="576"/>
        <w:jc w:val="left"/>
      </w:pPr>
      <w:r>
        <w:rPr/>
        <w:t xml:space="preserve">(c) Is a vehicle that meets the weight criteria of subsection (6) of this section;</w:t>
      </w:r>
    </w:p>
    <w:p>
      <w:pPr>
        <w:spacing w:before="0" w:after="0" w:line="408" w:lineRule="exact"/>
        <w:ind w:left="0" w:right="0" w:firstLine="576"/>
        <w:jc w:val="left"/>
      </w:pPr>
      <w:r>
        <w:rPr/>
        <w:t xml:space="preserve">(d) Is capable of safely operating on the highway;</w:t>
      </w:r>
    </w:p>
    <w:p>
      <w:pPr>
        <w:spacing w:before="0" w:after="0" w:line="408" w:lineRule="exact"/>
        <w:ind w:left="0" w:right="0" w:firstLine="576"/>
        <w:jc w:val="left"/>
      </w:pPr>
      <w:r>
        <w:rPr/>
        <w:t xml:space="preserve">(e) Is used for occasional use to and from truck conventions, auto shows, circuses, parades, displays, special excursions, and antique vehicle club meetings;</w:t>
      </w:r>
    </w:p>
    <w:p>
      <w:pPr>
        <w:spacing w:before="0" w:after="0" w:line="408" w:lineRule="exact"/>
        <w:ind w:left="0" w:right="0" w:firstLine="576"/>
        <w:jc w:val="left"/>
      </w:pPr>
      <w:r>
        <w:rPr/>
        <w:t xml:space="preserve">(f) Is used for the pleasure of others without compensation; and</w:t>
      </w:r>
    </w:p>
    <w:p>
      <w:pPr>
        <w:spacing w:before="0" w:after="0" w:line="408" w:lineRule="exact"/>
        <w:ind w:left="0" w:right="0" w:firstLine="576"/>
        <w:jc w:val="left"/>
      </w:pPr>
      <w:r>
        <w:rPr/>
        <w:t xml:space="preserve">(g) Is not used in the operations of a common or contract motor carrier and not used for commercial purposes.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"Collector truck operator" means an operator of a noncommercial vehicle that is being exclusively owned and operated as a collector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2021 c 317 s 22 are each amended to read as follows:</w:t>
      </w:r>
    </w:p>
    <w:p>
      <w:pPr>
        <w:spacing w:before="0" w:after="0" w:line="408" w:lineRule="exact"/>
        <w:ind w:left="0" w:right="0" w:firstLine="576"/>
        <w:jc w:val="left"/>
      </w:pPr>
      <w:r>
        <w:rPr/>
        <w:t xml:space="preserve">(1) The department may issue a CLP to an applicant who is at least </w:t>
      </w:r>
      <w:r>
        <w:t>((</w:t>
      </w:r>
      <w:r>
        <w:rPr>
          <w:strike/>
        </w:rPr>
        <w:t xml:space="preserve">eighteen</w:t>
      </w:r>
      <w:r>
        <w:t>))</w:t>
      </w:r>
      <w:r>
        <w:rPr/>
        <w:t xml:space="preserve"> </w:t>
      </w:r>
      <w:r>
        <w:rPr>
          <w:u w:val="single"/>
        </w:rPr>
        <w:t xml:space="preserve">18</w:t>
      </w:r>
      <w:r>
        <w:rPr/>
        <w:t xml:space="preserve">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w:t>
      </w:r>
      <w:r>
        <w:t>((</w:t>
      </w:r>
      <w:r>
        <w:rPr>
          <w:strike/>
        </w:rPr>
        <w:t xml:space="preserve">and</w:t>
      </w:r>
      <w:r>
        <w:t>))</w:t>
      </w:r>
    </w:p>
    <w:p>
      <w:pPr>
        <w:spacing w:before="0" w:after="0" w:line="408" w:lineRule="exact"/>
        <w:ind w:left="0" w:right="0" w:firstLine="576"/>
        <w:jc w:val="left"/>
      </w:pPr>
      <w:r>
        <w:rPr/>
        <w:t xml:space="preserve">(c) Paid the appropriate examination fee or fees and an application fee of </w:t>
      </w:r>
      <w:r>
        <w:t>((</w:t>
      </w:r>
      <w:r>
        <w:rPr>
          <w:strike/>
        </w:rPr>
        <w:t xml:space="preserve">ten dollars</w:t>
      </w:r>
      <w:r>
        <w:t>))</w:t>
      </w:r>
      <w:r>
        <w:rPr/>
        <w:t xml:space="preserve"> </w:t>
      </w:r>
      <w:r>
        <w:rPr>
          <w:u w:val="single"/>
        </w:rPr>
        <w:t xml:space="preserve">$10</w:t>
      </w:r>
      <w:r>
        <w:rPr/>
        <w:t xml:space="preserve"> until June 30, 2016, and </w:t>
      </w:r>
      <w:r>
        <w:t>((</w:t>
      </w:r>
      <w:r>
        <w:rPr>
          <w:strike/>
        </w:rPr>
        <w:t xml:space="preserve">forty dollars</w:t>
      </w:r>
      <w:r>
        <w:t>))</w:t>
      </w:r>
      <w:r>
        <w:rPr/>
        <w:t xml:space="preserve"> </w:t>
      </w:r>
      <w:r>
        <w:rPr>
          <w:u w:val="single"/>
        </w:rPr>
        <w:t xml:space="preserve">$40</w:t>
      </w:r>
      <w:r>
        <w:rPr/>
        <w:t xml:space="preserve"> beginning July 1, 2016</w:t>
      </w:r>
      <w:r>
        <w:rPr>
          <w:u w:val="single"/>
        </w:rPr>
        <w:t xml:space="preserve">; and</w:t>
      </w:r>
    </w:p>
    <w:p>
      <w:pPr>
        <w:spacing w:before="0" w:after="0" w:line="408" w:lineRule="exact"/>
        <w:ind w:left="0" w:right="0" w:firstLine="576"/>
        <w:jc w:val="left"/>
      </w:pPr>
      <w:r>
        <w:rPr>
          <w:u w:val="single"/>
        </w:rPr>
        <w:t xml:space="preserve">(d) Not been prohibited from operating a commercial motor vehicle based on the department's query of the drug and alcohol clearinghouse as provided in 49 C.F.R. Sec. 383.73</w:t>
      </w:r>
      <w:r>
        <w:rPr/>
        <w:t xml:space="preserve">.</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w:t>
      </w:r>
      <w:r>
        <w:t>((</w:t>
      </w:r>
      <w:r>
        <w:rPr>
          <w:strike/>
        </w:rPr>
        <w:t xml:space="preserve">one hundred eighty</w:t>
      </w:r>
      <w:r>
        <w:t>))</w:t>
      </w:r>
      <w:r>
        <w:rPr/>
        <w:t xml:space="preserve"> </w:t>
      </w:r>
      <w:r>
        <w:rPr>
          <w:u w:val="single"/>
        </w:rPr>
        <w:t xml:space="preserve">180</w:t>
      </w:r>
      <w:r>
        <w:rPr/>
        <w:t xml:space="preserve"> days. The department may renew the CLP for one additional </w:t>
      </w:r>
      <w:r>
        <w:t>((</w:t>
      </w:r>
      <w:r>
        <w:rPr>
          <w:strike/>
        </w:rPr>
        <w:t xml:space="preserve">one hundred eighty-day</w:t>
      </w:r>
      <w:r>
        <w:t>))</w:t>
      </w:r>
      <w:r>
        <w:rPr/>
        <w:t xml:space="preserve"> </w:t>
      </w:r>
      <w:r>
        <w:rPr>
          <w:u w:val="single"/>
        </w:rPr>
        <w:t xml:space="preserve">180-day</w:t>
      </w:r>
      <w:r>
        <w:rPr/>
        <w:t xml:space="preserve">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2021 c 317 s 23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w:t>
      </w:r>
      <w:r>
        <w:t>((</w:t>
      </w:r>
      <w:r>
        <w:rPr>
          <w:strike/>
        </w:rPr>
        <w:t xml:space="preserve">and</w:t>
      </w:r>
      <w:r>
        <w:t>))</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w:t>
      </w:r>
      <w:r>
        <w:t>((</w:t>
      </w:r>
      <w:r>
        <w:rPr>
          <w:strike/>
        </w:rPr>
        <w:t xml:space="preserve">fourteen</w:t>
      </w:r>
      <w:r>
        <w:t>))</w:t>
      </w:r>
      <w:r>
        <w:rPr/>
        <w:t xml:space="preserve"> </w:t>
      </w:r>
      <w:r>
        <w:rPr>
          <w:u w:val="single"/>
        </w:rPr>
        <w:t xml:space="preserve">14</w:t>
      </w:r>
      <w:r>
        <w:rPr/>
        <w:t xml:space="preserve"> days after initial issuance of the person's commercial learner's permit. The examinations must be prescribed and conducted by the department</w:t>
      </w:r>
      <w:r>
        <w:rPr>
          <w:u w:val="single"/>
        </w:rPr>
        <w:t xml:space="preserve">; and</w:t>
      </w:r>
    </w:p>
    <w:p>
      <w:pPr>
        <w:spacing w:before="0" w:after="0" w:line="408" w:lineRule="exact"/>
        <w:ind w:left="0" w:right="0" w:firstLine="576"/>
        <w:jc w:val="left"/>
      </w:pPr>
      <w:r>
        <w:rPr>
          <w:u w:val="single"/>
        </w:rPr>
        <w:t xml:space="preserve">(v) Is not prohibited from operating a commercial motor vehicle based on the department's query of the drug and alcohol clearinghouse as provided in 49 C.F.R. Sec. 383.73</w:t>
      </w:r>
      <w:r>
        <w:rPr/>
        <w:t xml:space="preserve">.</w:t>
      </w:r>
    </w:p>
    <w:p>
      <w:pPr>
        <w:spacing w:before="0" w:after="0" w:line="408" w:lineRule="exact"/>
        <w:ind w:left="0" w:right="0" w:firstLine="576"/>
        <w:jc w:val="left"/>
      </w:pPr>
      <w:r>
        <w:rPr/>
        <w:t xml:space="preserve">(b) In addition to the fee charged for issuance or renewal of any license, the applicant shall pay a fee of no more than </w:t>
      </w:r>
      <w:r>
        <w:t>((</w:t>
      </w:r>
      <w:r>
        <w:rPr>
          <w:strike/>
        </w:rPr>
        <w:t xml:space="preserve">ten dollars</w:t>
      </w:r>
      <w:r>
        <w:t>))</w:t>
      </w:r>
      <w:r>
        <w:rPr/>
        <w:t xml:space="preserve"> </w:t>
      </w:r>
      <w:r>
        <w:rPr>
          <w:u w:val="single"/>
        </w:rPr>
        <w:t xml:space="preserve">$10</w:t>
      </w:r>
      <w:r>
        <w:rPr/>
        <w:t xml:space="preserve"> until June 30, 2016, and </w:t>
      </w:r>
      <w:r>
        <w:t>((</w:t>
      </w:r>
      <w:r>
        <w:rPr>
          <w:strike/>
        </w:rPr>
        <w:t xml:space="preserve">thirty-five dollars</w:t>
      </w:r>
      <w:r>
        <w:t>))</w:t>
      </w:r>
      <w:r>
        <w:rPr/>
        <w:t xml:space="preserve"> </w:t>
      </w:r>
      <w:r>
        <w:rPr>
          <w:u w:val="single"/>
        </w:rPr>
        <w:t xml:space="preserve">$35</w:t>
      </w:r>
      <w:r>
        <w:rPr/>
        <w:t xml:space="preserve"> beginning July 1, 2016, for the classified knowledge examination, classified endorsement knowledge examination, or any combination of classified license and endorsement knowledge examinations. The applicant shall pay a fee of no more than </w:t>
      </w:r>
      <w:r>
        <w:t>((</w:t>
      </w:r>
      <w:r>
        <w:rPr>
          <w:strike/>
        </w:rPr>
        <w:t xml:space="preserve">one hundred dollars</w:t>
      </w:r>
      <w:r>
        <w:t>))</w:t>
      </w:r>
      <w:r>
        <w:rPr/>
        <w:t xml:space="preserve"> </w:t>
      </w:r>
      <w:r>
        <w:rPr>
          <w:u w:val="single"/>
        </w:rPr>
        <w:t xml:space="preserve">$100</w:t>
      </w:r>
      <w:r>
        <w:rPr/>
        <w:t xml:space="preserve"> until June 30, 2016, and </w:t>
      </w:r>
      <w:r>
        <w:t>((</w:t>
      </w:r>
      <w:r>
        <w:rPr>
          <w:strike/>
        </w:rPr>
        <w:t xml:space="preserve">two hundred fifty dollars</w:t>
      </w:r>
      <w:r>
        <w:t>))</w:t>
      </w:r>
      <w:r>
        <w:rPr/>
        <w:t xml:space="preserve"> </w:t>
      </w:r>
      <w:r>
        <w:rPr>
          <w:u w:val="single"/>
        </w:rPr>
        <w:t xml:space="preserve">$250</w:t>
      </w:r>
      <w:r>
        <w:rPr/>
        <w:t xml:space="preserve">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w:t>
      </w:r>
      <w:r>
        <w:t>((</w:t>
      </w:r>
      <w:r>
        <w:rPr>
          <w:strike/>
        </w:rPr>
        <w:t xml:space="preserve">seventy-five dollars</w:t>
      </w:r>
      <w:r>
        <w:t>))</w:t>
      </w:r>
      <w:r>
        <w:rPr/>
        <w:t xml:space="preserve"> </w:t>
      </w:r>
      <w:r>
        <w:rPr>
          <w:u w:val="single"/>
        </w:rPr>
        <w:t xml:space="preserve">$75</w:t>
      </w:r>
      <w:r>
        <w:rPr/>
        <w:t xml:space="preserve"> until June 30, 2016, and </w:t>
      </w:r>
      <w:r>
        <w:t>((</w:t>
      </w:r>
      <w:r>
        <w:rPr>
          <w:strike/>
        </w:rPr>
        <w:t xml:space="preserve">two hundred twenty-five dollars</w:t>
      </w:r>
      <w:r>
        <w:t>))</w:t>
      </w:r>
      <w:r>
        <w:rPr/>
        <w:t xml:space="preserve"> </w:t>
      </w:r>
      <w:r>
        <w:rPr>
          <w:u w:val="single"/>
        </w:rPr>
        <w:t xml:space="preserve">$225</w:t>
      </w:r>
      <w:r>
        <w:rPr/>
        <w:t xml:space="preserve">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w:t>
      </w:r>
      <w:r>
        <w:t>((</w:t>
      </w:r>
      <w:r>
        <w:rPr>
          <w:strike/>
        </w:rPr>
        <w:t xml:space="preserve">one hundred dollars</w:t>
      </w:r>
      <w:r>
        <w:t>))</w:t>
      </w:r>
      <w:r>
        <w:rPr/>
        <w:t xml:space="preserve"> </w:t>
      </w:r>
      <w:r>
        <w:rPr>
          <w:u w:val="single"/>
        </w:rPr>
        <w:t xml:space="preserve">$100</w:t>
      </w:r>
      <w:r>
        <w:rPr/>
        <w:t xml:space="preserve">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088</w:t>
      </w:r>
      <w:r>
        <w:rPr/>
        <w:t xml:space="preserve"> and 2013 c 224 s 11 are each amended to read as follows:</w:t>
      </w:r>
    </w:p>
    <w:p>
      <w:pPr>
        <w:spacing w:before="0" w:after="0" w:line="408" w:lineRule="exact"/>
        <w:ind w:left="0" w:right="0" w:firstLine="576"/>
        <w:jc w:val="left"/>
      </w:pPr>
      <w:r>
        <w:rPr/>
        <w:t xml:space="preserve">(1) A CDL expires in the same manner as provided in RCW 46.20.181.</w:t>
      </w:r>
    </w:p>
    <w:p>
      <w:pPr>
        <w:spacing w:before="0" w:after="0" w:line="408" w:lineRule="exact"/>
        <w:ind w:left="0" w:right="0" w:firstLine="576"/>
        <w:jc w:val="left"/>
      </w:pPr>
      <w:r>
        <w:rPr/>
        <w:t xml:space="preserve">(2) When applying for renewal of a CDL, the applicant must:</w:t>
      </w:r>
    </w:p>
    <w:p>
      <w:pPr>
        <w:spacing w:before="0" w:after="0" w:line="408" w:lineRule="exact"/>
        <w:ind w:left="0" w:right="0" w:firstLine="576"/>
        <w:jc w:val="left"/>
      </w:pPr>
      <w:r>
        <w:rPr/>
        <w:t xml:space="preserve">(a) Complete the application form required under RCW 46.25.070(1), providing updated information and required certifications, and meet all the requirements of RCW 46.25.070 and 49 C.F.R. Sec. 383.71;</w:t>
      </w:r>
    </w:p>
    <w:p>
      <w:pPr>
        <w:spacing w:before="0" w:after="0" w:line="408" w:lineRule="exact"/>
        <w:ind w:left="0" w:right="0" w:firstLine="576"/>
        <w:jc w:val="left"/>
      </w:pPr>
      <w:r>
        <w:rPr/>
        <w:t xml:space="preserve">(b) Submit the application to the department in person; and</w:t>
      </w:r>
    </w:p>
    <w:p>
      <w:pPr>
        <w:spacing w:before="0" w:after="0" w:line="408" w:lineRule="exact"/>
        <w:ind w:left="0" w:right="0" w:firstLine="576"/>
        <w:jc w:val="left"/>
      </w:pPr>
      <w:r>
        <w:rPr/>
        <w:t xml:space="preserve">(c) If the applicant wishes to retain a hazardous materials endorsement, take and pass the written test for a hazardous materials endorsement.</w:t>
      </w:r>
    </w:p>
    <w:p>
      <w:pPr>
        <w:spacing w:before="0" w:after="0" w:line="408" w:lineRule="exact"/>
        <w:ind w:left="0" w:right="0" w:firstLine="576"/>
        <w:jc w:val="left"/>
      </w:pPr>
      <w:r>
        <w:rPr>
          <w:u w:val="single"/>
        </w:rPr>
        <w:t xml:space="preserve">(3) The department must not renew a CDL if the CDL holder is prohibited from operating a commercial motor vehicle based on a query of the drug and alcohol clearinghouse as provided in 49 C.F.R. Sec. 383.73.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2021 c 317 s 20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w:t>
      </w:r>
      <w:r>
        <w:t>((</w:t>
      </w:r>
      <w:r>
        <w:rPr>
          <w:strike/>
        </w:rPr>
        <w:t xml:space="preserve">or until the department has received a drug and alcohol assessment and evidence is presented of satisfactory participation in or completion of any required drug or alcohol treatment program for ending the disqualification under RCW 46.25.090(7)</w:t>
      </w:r>
      <w:r>
        <w:t>))</w:t>
      </w:r>
      <w:r>
        <w:rPr/>
        <w:t xml:space="preserve">. After expiration of the appropriate period and upon payment of a requalification fee of </w:t>
      </w:r>
      <w:r>
        <w:t>((</w:t>
      </w:r>
      <w:r>
        <w:rPr>
          <w:strike/>
        </w:rPr>
        <w:t xml:space="preserve">twenty dollars</w:t>
      </w:r>
      <w:r>
        <w:t>))</w:t>
      </w:r>
      <w:r>
        <w:rPr/>
        <w:t xml:space="preserve"> </w:t>
      </w:r>
      <w:r>
        <w:rPr>
          <w:u w:val="single"/>
        </w:rPr>
        <w:t xml:space="preserve">$20</w:t>
      </w:r>
      <w:r>
        <w:rPr/>
        <w:t xml:space="preserve"> until June 30, 2016, and </w:t>
      </w:r>
      <w:r>
        <w:t>((</w:t>
      </w:r>
      <w:r>
        <w:rPr>
          <w:strike/>
        </w:rPr>
        <w:t xml:space="preserve">thirty-five dollars</w:t>
      </w:r>
      <w:r>
        <w:t>))</w:t>
      </w:r>
      <w:r>
        <w:rPr/>
        <w:t xml:space="preserve"> </w:t>
      </w:r>
      <w:r>
        <w:rPr>
          <w:u w:val="single"/>
        </w:rPr>
        <w:t xml:space="preserve">$35</w:t>
      </w:r>
      <w:r>
        <w:rPr/>
        <w:t xml:space="preserve"> beginning July 1, 2016, </w:t>
      </w:r>
      <w:r>
        <w:t>((</w:t>
      </w:r>
      <w:r>
        <w:rPr>
          <w:strike/>
        </w:rPr>
        <w:t xml:space="preserve">or one hundred fifty dollars if the person has been disqualified under RCW 46.25.090(7),</w:t>
      </w:r>
      <w:r>
        <w:t>))</w:t>
      </w:r>
      <w:r>
        <w:rPr/>
        <w:t xml:space="preserve">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2022 c 51 s 1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0.08 or more, or is 0.02 or more if the person is under age </w:t>
      </w:r>
      <w:r>
        <w:t>((</w:t>
      </w:r>
      <w:r>
        <w:rPr>
          <w:strike/>
        </w:rPr>
        <w:t xml:space="preserve">twenty</w:t>
      </w:r>
      <w:r>
        <w:rPr/>
        <w:noBreakHyphen/>
      </w:r>
      <w:r>
        <w:rPr>
          <w:strike/>
        </w:rPr>
        <w:t xml:space="preserve">one</w:t>
      </w:r>
      <w:r>
        <w:t>))</w:t>
      </w:r>
      <w:r>
        <w:rPr/>
        <w:t xml:space="preserve"> </w:t>
      </w:r>
      <w:r>
        <w:rPr>
          <w:u w:val="single"/>
        </w:rPr>
        <w:t xml:space="preserve">21</w:t>
      </w:r>
      <w:r>
        <w:rPr/>
        <w:t xml:space="preserve">, or with a THC concentration of 5.00 nanograms per milliliter of whole blood or more, or a THC concentration above 0.00 if the person is under the age of </w:t>
      </w:r>
      <w:r>
        <w:t>((</w:t>
      </w:r>
      <w:r>
        <w:rPr>
          <w:strike/>
        </w:rPr>
        <w:t xml:space="preserve">twenty-one</w:t>
      </w:r>
      <w:r>
        <w:t>))</w:t>
      </w:r>
      <w:r>
        <w:rPr/>
        <w:t xml:space="preserve"> </w:t>
      </w:r>
      <w:r>
        <w:rPr>
          <w:u w:val="single"/>
        </w:rPr>
        <w:t xml:space="preserve">21</w:t>
      </w:r>
      <w:r>
        <w:rPr/>
        <w:t xml:space="preserve">,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(4) A person is disqualified from driving a commercial motor vehicle for life who:</w:t>
      </w:r>
    </w:p>
    <w:p>
      <w:pPr>
        <w:spacing w:before="0" w:after="0" w:line="408" w:lineRule="exact"/>
        <w:ind w:left="0" w:right="0" w:firstLine="576"/>
        <w:jc w:val="left"/>
      </w:pPr>
      <w:r>
        <w:rPr/>
        <w:t xml:space="preserve">(a) Uses a motor vehicle in the commission of a felony involving the manufacture, distribution, or dispensing of a controlled substance, as defined by chapter 69.50 RCW, or possession with intent to manufacture, distribute, or dispense a controlled substance, as defined by chapter 69.50 RCW; or</w:t>
      </w:r>
    </w:p>
    <w:p>
      <w:pPr>
        <w:spacing w:before="0" w:after="0" w:line="408" w:lineRule="exact"/>
        <w:ind w:left="0" w:right="0" w:firstLine="576"/>
        <w:jc w:val="left"/>
      </w:pPr>
      <w:r>
        <w:rPr/>
        <w:t xml:space="preserve">(b) Uses a motor vehicle in the commission of any trafficking offense under RCW 9A.40.100, which offenses are deemed consistent with felonies involving severe forms of trafficking in persons as described by the federal motor carrier safety administration.</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w:t>
      </w:r>
      <w:r>
        <w:t>((</w:t>
      </w:r>
      <w:r>
        <w:rPr>
          <w:strike/>
        </w:rPr>
        <w:t xml:space="preserve">sixty</w:t>
      </w:r>
      <w:r>
        <w:t>))</w:t>
      </w:r>
      <w:r>
        <w:rPr/>
        <w:t xml:space="preserve"> </w:t>
      </w:r>
      <w:r>
        <w:rPr>
          <w:u w:val="single"/>
        </w:rPr>
        <w:t xml:space="preserve">60</w:t>
      </w:r>
      <w:r>
        <w:rPr/>
        <w:t xml:space="preserve">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w:t>
      </w:r>
      <w:r>
        <w:t>((</w:t>
      </w:r>
      <w:r>
        <w:rPr>
          <w:strike/>
        </w:rPr>
        <w:t xml:space="preserve">one hundred twenty</w:t>
      </w:r>
      <w:r>
        <w:t>))</w:t>
      </w:r>
      <w:r>
        <w:rPr/>
        <w:t xml:space="preserve"> </w:t>
      </w:r>
      <w:r>
        <w:rPr>
          <w:u w:val="single"/>
        </w:rPr>
        <w:t xml:space="preserve">120</w:t>
      </w:r>
      <w:r>
        <w:rPr/>
        <w:t xml:space="preserve">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w:t>
      </w:r>
      <w:r>
        <w:t>((</w:t>
      </w:r>
      <w:r>
        <w:rPr>
          <w:strike/>
        </w:rPr>
        <w:t xml:space="preserve">one hundred eighty</w:t>
      </w:r>
      <w:r>
        <w:t>))</w:t>
      </w:r>
      <w:r>
        <w:rPr/>
        <w:t xml:space="preserve"> </w:t>
      </w:r>
      <w:r>
        <w:rPr>
          <w:u w:val="single"/>
        </w:rPr>
        <w:t xml:space="preserve">180</w:t>
      </w:r>
      <w:r>
        <w:rPr/>
        <w:t xml:space="preserve">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w:t>
      </w:r>
      <w:r>
        <w:t>((</w:t>
      </w:r>
      <w:r>
        <w:rPr>
          <w:strike/>
        </w:rPr>
        <w:t xml:space="preserve">ten-year</w:t>
      </w:r>
      <w:r>
        <w:t>))</w:t>
      </w:r>
      <w:r>
        <w:rPr/>
        <w:t xml:space="preserve"> </w:t>
      </w:r>
      <w:r>
        <w:rPr>
          <w:u w:val="single"/>
        </w:rPr>
        <w:t xml:space="preserve">10-year</w:t>
      </w:r>
      <w:r>
        <w:rPr/>
        <w:t xml:space="preserve">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w:t>
      </w:r>
      <w:r>
        <w:t>((</w:t>
      </w:r>
      <w:r>
        <w:rPr>
          <w:strike/>
        </w:rPr>
        <w:t xml:space="preserve">ten-year</w:t>
      </w:r>
      <w:r>
        <w:t>))</w:t>
      </w:r>
      <w:r>
        <w:rPr/>
        <w:t xml:space="preserve"> </w:t>
      </w:r>
      <w:r>
        <w:rPr>
          <w:u w:val="single"/>
        </w:rPr>
        <w:t xml:space="preserve">10-year</w:t>
      </w:r>
      <w:r>
        <w:rPr/>
        <w:t xml:space="preserve">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w:t>
      </w:r>
      <w:r>
        <w:t>((</w:t>
      </w:r>
      <w:r>
        <w:rPr>
          <w:strike/>
        </w:rPr>
        <w:t xml:space="preserve">one hundred eighty</w:t>
      </w:r>
      <w:r>
        <w:t>))</w:t>
      </w:r>
      <w:r>
        <w:rPr/>
        <w:t xml:space="preserve"> </w:t>
      </w:r>
      <w:r>
        <w:rPr>
          <w:u w:val="single"/>
        </w:rPr>
        <w:t xml:space="preserve">180</w:t>
      </w:r>
      <w:r>
        <w:rPr/>
        <w:t xml:space="preserve"> days nor more than two years if the person is convicted of or is found to have committed a first violation of an out-of-service order while transporting hazardous materials, or while operating motor vehicles designed to transport </w:t>
      </w:r>
      <w:r>
        <w:t>((</w:t>
      </w:r>
      <w:r>
        <w:rPr>
          <w:strike/>
        </w:rPr>
        <w:t xml:space="preserve">sixteen</w:t>
      </w:r>
      <w:r>
        <w:t>))</w:t>
      </w:r>
      <w:r>
        <w:rPr/>
        <w:t xml:space="preserve"> </w:t>
      </w:r>
      <w:r>
        <w:rPr>
          <w:u w:val="single"/>
        </w:rPr>
        <w:t xml:space="preserve">16</w:t>
      </w:r>
      <w:r>
        <w:rPr/>
        <w:t xml:space="preserve"> or more passengers, including the driver. A person is disqualified for a period of not less than three years nor more than five years if, during a </w:t>
      </w:r>
      <w:r>
        <w:t>((</w:t>
      </w:r>
      <w:r>
        <w:rPr>
          <w:strike/>
        </w:rPr>
        <w:t xml:space="preserve">ten-year</w:t>
      </w:r>
      <w:r>
        <w:t>))</w:t>
      </w:r>
      <w:r>
        <w:rPr/>
        <w:t xml:space="preserve"> </w:t>
      </w:r>
      <w:r>
        <w:rPr>
          <w:u w:val="single"/>
        </w:rPr>
        <w:t xml:space="preserve">10-year</w:t>
      </w:r>
      <w:r>
        <w:rPr/>
        <w:t xml:space="preserve"> period, the person is convicted of or is found to have committed subsequent violations of out-of-service orders, in separate incidents, while transporting hazardous materials, or while operating motor vehicles designed to transport sixteen or more passengers, including the driver.</w:t>
      </w:r>
    </w:p>
    <w:p>
      <w:pPr>
        <w:spacing w:before="0" w:after="0" w:line="408" w:lineRule="exact"/>
        <w:ind w:left="0" w:right="0" w:firstLine="576"/>
        <w:jc w:val="left"/>
      </w:pPr>
      <w:r>
        <w:rPr/>
        <w:t xml:space="preserve">(7) </w:t>
      </w:r>
      <w:r>
        <w:t>((</w:t>
      </w:r>
      <w:r>
        <w:rPr>
          <w:strike/>
        </w:rPr>
        <w:t xml:space="preserve">A person is disqualified from driving a commercial motor vehicle if a report has been received by the department under RCW 46.25.125 that the person has received a verified positive drug test or positive alcohol confirmation test as part of the testing program conducted under 49 C.F.R. 40. A disqualification under this subsection remains in effect until the person undergoes a drug and alcohol assessment by a substance abuse professional meeting the requirements of 49 C.F.R. 40, and the person presents evidence of satisfactory participation in or successful completion of a drug or alcohol treatment and/or education program as recommended by the substance abuse professional, and until the person has met the requirements of RCW 46.25.100. The substance abuse professional shall forward a diagnostic evaluation and treatment recommendation to the department of licensing for use in determining the person's eligibility for driving a commercial motor vehicle. Persons who are disqualified under this subsection more than twice in a five-year period are disqualified for life.</w:t>
      </w:r>
    </w:p>
    <w:p>
      <w:pPr>
        <w:spacing w:before="0" w:after="0" w:line="408" w:lineRule="exact"/>
        <w:ind w:left="0" w:right="0" w:firstLine="576"/>
        <w:jc w:val="left"/>
      </w:pPr>
      <w:r>
        <w:rPr>
          <w:strike/>
        </w:rPr>
        <w:t xml:space="preserve">(8)</w:t>
      </w:r>
      <w:r>
        <w:t>))</w:t>
      </w:r>
      <w:r>
        <w:rPr/>
        <w:t xml:space="preserve">(a)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or other on-track equipment;</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w:t>
      </w:r>
      <w:r>
        <w:t>((</w:t>
      </w:r>
      <w:r>
        <w:rPr>
          <w:strike/>
        </w:rPr>
        <w:t xml:space="preserve">sixty</w:t>
      </w:r>
      <w:r>
        <w:t>))</w:t>
      </w:r>
      <w:r>
        <w:rPr/>
        <w:t xml:space="preserve"> </w:t>
      </w:r>
      <w:r>
        <w:rPr>
          <w:u w:val="single"/>
        </w:rPr>
        <w:t xml:space="preserve">60</w:t>
      </w:r>
      <w:r>
        <w:rPr/>
        <w:t xml:space="preserve">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w:t>
      </w:r>
      <w:r>
        <w:t>((</w:t>
      </w:r>
      <w:r>
        <w:rPr>
          <w:strike/>
        </w:rPr>
        <w:t xml:space="preserve">one hundred twenty</w:t>
      </w:r>
      <w:r>
        <w:t>))</w:t>
      </w:r>
      <w:r>
        <w:rPr/>
        <w:t xml:space="preserve"> </w:t>
      </w:r>
      <w:r>
        <w:rPr>
          <w:u w:val="single"/>
        </w:rPr>
        <w:t xml:space="preserve">120</w:t>
      </w:r>
      <w:r>
        <w:rPr/>
        <w:t xml:space="preserve">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Within </w:t>
      </w:r>
      <w:r>
        <w:t>((</w:t>
      </w:r>
      <w:r>
        <w:rPr>
          <w:strike/>
        </w:rPr>
        <w:t xml:space="preserve">ten</w:t>
      </w:r>
      <w:r>
        <w:t>))</w:t>
      </w:r>
      <w:r>
        <w:rPr/>
        <w:t xml:space="preserve"> </w:t>
      </w:r>
      <w:r>
        <w:rPr>
          <w:u w:val="single"/>
        </w:rPr>
        <w:t xml:space="preserve">10</w:t>
      </w:r>
      <w:r>
        <w:rPr/>
        <w:t xml:space="preserve">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upon receiving notification that pursuant to 49 C.F.R. Sec. 382 that a Washington state CLP or CDL holder is prohibited from operating a commercial motor vehicle, must initiate a downgrade of the CLP or CDL. The downgrade must be completed and recorded on the CDLIS driver record within 60 days of the department's receipt of such notification.</w:t>
      </w:r>
    </w:p>
    <w:p>
      <w:pPr>
        <w:spacing w:before="0" w:after="0" w:line="408" w:lineRule="exact"/>
        <w:ind w:left="0" w:right="0" w:firstLine="576"/>
        <w:jc w:val="left"/>
      </w:pPr>
      <w:r>
        <w:rPr/>
        <w:t xml:space="preserve">(2) Any administrative review made available by the federal motor carrier safety administration is the exclusive remedy for a CDL or CLP holder to contest administrative or clerical errors in the information sent to the department from the drug and alcohol clearinghouse.</w:t>
      </w:r>
    </w:p>
    <w:p>
      <w:pPr>
        <w:spacing w:before="0" w:after="0" w:line="408" w:lineRule="exact"/>
        <w:ind w:left="0" w:right="0" w:firstLine="576"/>
        <w:jc w:val="left"/>
      </w:pPr>
      <w:r>
        <w:rPr/>
        <w:t xml:space="preserve">(3) When the department receives notification that a CLP or CDL holder is no longer prohibited from operating a commercial motor vehicle under subsection (1) of this section, the department must remove the downgrade or pending downgrade.</w:t>
      </w:r>
    </w:p>
    <w:p>
      <w:pPr>
        <w:spacing w:before="0" w:after="0" w:line="408" w:lineRule="exact"/>
        <w:ind w:left="0" w:right="0" w:firstLine="576"/>
        <w:jc w:val="left"/>
      </w:pPr>
      <w:r>
        <w:rPr/>
        <w:t xml:space="preserve">(4) If the federal motor carrier safety administration notifies the state that the driver was erroneously identified as prohibited from operating a commercial motor vehicle, the department shall: Remove the downgrade and remove any reference related to the driver's erroneous prohibited status from CDLIS and the driver's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2022 c 16 s 39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breath for the purpose of determining that person's alcohol concentration.</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reasonable grounds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A law enforcement officer who at the time of stopping or detaining a commercial motor vehicle driver has reasonable grounds to believe that driver was driving a commercial motor vehicle while having alcohol, cannabis, or any drug in his or her system or while under the influence of alcohol, cannabis,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t xml:space="preserve">(5) If the person refuses testing, or a test is administered that discloses an alcohol concentration of 0.04 or more or any measurable amount of THC concentration, the law enforcement officer shall submit a sworn report to the department certifying that the test was requested pursuant to subsection (1) of this section or a blood test was administered pursuant to subsection (4) of this section and that the person refused to submit to testing, or a test was administered that disclosed an alcohol concentration of 0.04 or more or any measurable amount of THC concentration.</w:t>
      </w:r>
    </w:p>
    <w:p>
      <w:pPr>
        <w:spacing w:before="0" w:after="0" w:line="408" w:lineRule="exact"/>
        <w:ind w:left="0" w:right="0" w:firstLine="576"/>
        <w:jc w:val="left"/>
      </w:pPr>
      <w:r>
        <w:rPr/>
        <w:t xml:space="preserve">(6) Upon receipt of the sworn report of a law enforcement officer under subsection (5)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if applicable,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t>((</w:t>
      </w:r>
      <w:r>
        <w:rPr>
          <w:strike/>
        </w:rPr>
        <w:t xml:space="preserve">(7)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rPr>
          <w:strike/>
        </w:rPr>
        <w:t xml:space="preserve">(8) The hearing provisions of this section do not apply to those persons disqualified from driving a commercial motor vehicle under RCW 46.25.090(7).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324</w:t>
      </w:r>
      <w:r>
        <w:rPr/>
        <w:t xml:space="preserve"> and 2005 c 288 s 6 are each amended to read as follows:</w:t>
      </w:r>
    </w:p>
    <w:p>
      <w:pPr>
        <w:spacing w:before="0" w:after="0" w:line="408" w:lineRule="exact"/>
        <w:ind w:left="0" w:right="0" w:firstLine="576"/>
        <w:jc w:val="left"/>
      </w:pPr>
      <w:r>
        <w:rPr/>
        <w:t xml:space="preserve">Unless otherwise provided by law, a person shall not be entitled to a driver improvement interview or formal hearing under the provisions of RCW 46.20.322 through 46.20.333 when the person:</w:t>
      </w:r>
    </w:p>
    <w:p>
      <w:pPr>
        <w:spacing w:before="0" w:after="0" w:line="408" w:lineRule="exact"/>
        <w:ind w:left="0" w:right="0" w:firstLine="576"/>
        <w:jc w:val="left"/>
      </w:pPr>
      <w:r>
        <w:rPr/>
        <w:t xml:space="preserve">(1) Has been granted the opportunity for an administrative review, informal settlement, or formal hearing under RCW 46.20.245, 46.20.308, 46.25.120, </w:t>
      </w:r>
      <w:r>
        <w:t>((</w:t>
      </w:r>
      <w:r>
        <w:rPr>
          <w:strike/>
        </w:rPr>
        <w:t xml:space="preserve">46.25.125,</w:t>
      </w:r>
      <w:r>
        <w:t>))</w:t>
      </w:r>
      <w:r>
        <w:rPr/>
        <w:t xml:space="preserve"> 46.65.065, 74.20A.320, or by rule of the department; or</w:t>
      </w:r>
    </w:p>
    <w:p>
      <w:pPr>
        <w:spacing w:before="0" w:after="0" w:line="408" w:lineRule="exact"/>
        <w:ind w:left="0" w:right="0" w:firstLine="576"/>
        <w:jc w:val="left"/>
      </w:pPr>
      <w:r>
        <w:rPr/>
        <w:t xml:space="preserve">(2) Has refused or neglected to submit to an examination as required by RCW 46.20.305.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46</w:t>
      </w:r>
      <w:r>
        <w:rPr/>
        <w:t xml:space="preserve">.</w:t>
      </w:r>
      <w:r>
        <w:t xml:space="preserve">25</w:t>
      </w:r>
      <w:r>
        <w:rPr/>
        <w:t xml:space="preserve">.</w:t>
      </w:r>
      <w:r>
        <w:t xml:space="preserve">123</w:t>
      </w:r>
      <w:r>
        <w:rPr/>
        <w:t xml:space="preserve"> (Mandatory reporting of positive test) and 2005 c 325 s 3 &amp; 2002 c 272 s 1; and</w:t>
      </w:r>
    </w:p>
    <w:p>
      <w:pPr>
        <w:spacing w:before="0" w:after="0" w:line="408" w:lineRule="exact"/>
        <w:ind w:left="0" w:right="0" w:firstLine="576"/>
        <w:jc w:val="left"/>
      </w:pPr>
      <w:r>
        <w:t xml:space="preserve">(2) </w:t>
      </w:r>
      <w:r>
        <w:rPr/>
        <w:t xml:space="preserve">RCW </w:t>
      </w:r>
      <w:r>
        <w:t xml:space="preserve">46</w:t>
      </w:r>
      <w:r>
        <w:rPr/>
        <w:t xml:space="preserve">.</w:t>
      </w:r>
      <w:r>
        <w:t xml:space="preserve">25</w:t>
      </w:r>
      <w:r>
        <w:rPr/>
        <w:t xml:space="preserve">.</w:t>
      </w:r>
      <w:r>
        <w:t xml:space="preserve">125</w:t>
      </w:r>
      <w:r>
        <w:rPr/>
        <w:t xml:space="preserve"> (Disqualification for positive test</w:t>
      </w:r>
      <w:r>
        <w:rPr>
          <w:rFonts w:ascii="Times New Roman" w:hAnsi="Times New Roman"/>
        </w:rPr>
        <w:t xml:space="preserve">—</w:t>
      </w:r>
      <w:r>
        <w:rPr/>
        <w:t xml:space="preserve">Procedure) and 2005 c 325 s 4 &amp; 2002 c 272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18, 2024.</w:t>
      </w:r>
    </w:p>
    <w:p/>
    <w:p>
      <w:pPr>
        <w:jc w:val="center"/>
      </w:pPr>
      <w:r>
        <w:rPr>
          <w:b/>
        </w:rPr>
        <w:t>--- END ---</w:t>
      </w:r>
    </w:p>
    <w:sectPr>
      <w:pgNumType w:start="1"/>
      <w:footerReference xmlns:r="http://schemas.openxmlformats.org/officeDocument/2006/relationships" r:id="R01540f69a3d644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33614d1ad47f4" /><Relationship Type="http://schemas.openxmlformats.org/officeDocument/2006/relationships/footer" Target="/word/footer1.xml" Id="R01540f69a3d644c7" /></Relationships>
</file>