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a8895b1cb442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5243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5243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Wellman, Hunt, Kuderer, Nobles, and C. Wilson; by request of Superintendent of Public Instruction)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planning; amending RCW 28A.230.090, 28A.230.215, 28A.230.091, 28A.230.310, 28A.230.320, 28A.300.900, and 28A.655.250; adding a new section to chapter 28A.230 RCW; creating new sections; repealing RCW 28A.655.270;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school and beyond plan is both a graduation requirement and a critical component in our education system. However, the practices and technologies that school districts employ for facilitating high school and beyond plans vary significantly. These variances can create inequities for students and families, and do not reflect the legislature's vision for the role of the high school and beyond plan in promoting student success in secondary and postsecondary endeavors.</w:t>
      </w:r>
    </w:p>
    <w:p>
      <w:pPr>
        <w:spacing w:before="0" w:after="0" w:line="408" w:lineRule="exact"/>
        <w:ind w:left="0" w:right="0" w:firstLine="576"/>
        <w:jc w:val="left"/>
      </w:pPr>
      <w:r>
        <w:rPr/>
        <w:t xml:space="preserve">(2) A universal online high school and beyond plan platform that can be readily accessed by students, parents, teachers, and others who support academic progress will alleviate equity issues and create new opportunities for students to develop and curate plans that align with their needs and interests. With the assistance of a flexible, portable, and expandable platform, all students with high school and beyond plans will be able to easily personalize and revise their plans, explore education options of relevance and interest, and receive supports that will help them make informed choices about their education and career objectives.</w:t>
      </w:r>
    </w:p>
    <w:p>
      <w:pPr>
        <w:spacing w:before="0" w:after="0" w:line="408" w:lineRule="exact"/>
        <w:ind w:left="0" w:right="0" w:firstLine="576"/>
        <w:jc w:val="left"/>
      </w:pPr>
      <w:r>
        <w:rPr/>
        <w:t xml:space="preserve">(3) The legislature, therefore, intends to revise and strengthen high school and beyond plan requirements and to direct the office of the superintendent of public instruction to facilitate the transition to a universal online high school and beyond plan platform to guide students' secondary education experiences and ensure preparation for their postsecondary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3 of this act and RCW 28A.230.215.</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This section establishes the school district, content, and other substantive requirements for the high school and beyond plan required by RCW 28A.230.090.</w:t>
      </w:r>
    </w:p>
    <w:p>
      <w:pPr>
        <w:spacing w:before="0" w:after="0" w:line="408" w:lineRule="exact"/>
        <w:ind w:left="0" w:right="0" w:firstLine="576"/>
        <w:jc w:val="left"/>
      </w:pPr>
      <w:r>
        <w:rPr/>
        <w:t xml:space="preserve">(2)(a) Beginning by the seventh grade, each student must be administered a career interest and skills inventory which is intended to be used to inform eighth grade course taking and development of an initial high school and beyond plan. No later than eighth grade, each student must have begun development of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(3) With staff support, students must update their high school and beyond plan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parents or legal guardians shall be notified about these opportunities as included in the student's high school and beyond plan, preferably through a student-led conference, including the parents or legal guardians,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(4) School districts shall involve parents and legal guardians to the greatest extent feasible in the process of developing and updating the high school and beyond plan.</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(5) School districts are strongly encouraged to partner with student serving, community-based organizations that support career and college exploration and preparation for postsecondary and career pathways. Partnerships may include high school and beyond plan coordination and planning, data sharing agreements, and safe and secure access to individual student's high school and beyond plans.</w:t>
      </w:r>
    </w:p>
    <w:p>
      <w:pPr>
        <w:spacing w:before="0" w:after="0" w:line="408" w:lineRule="exact"/>
        <w:ind w:left="0" w:right="0" w:firstLine="576"/>
        <w:jc w:val="left"/>
      </w:pPr>
      <w:r>
        <w:rPr/>
        <w:t xml:space="preserve">(6) All high school and beyond plans must, at a minimum, include the following elements:</w:t>
      </w:r>
    </w:p>
    <w:p>
      <w:pPr>
        <w:spacing w:before="0" w:after="0" w:line="408" w:lineRule="exact"/>
        <w:ind w:left="0" w:right="0" w:firstLine="576"/>
        <w:jc w:val="left"/>
      </w:pPr>
      <w:r>
        <w:rPr/>
        <w:t xml:space="preserve">(a) Identification of career goals and interests, aided by a skills and interest assessment;</w:t>
      </w:r>
    </w:p>
    <w:p>
      <w:pPr>
        <w:spacing w:before="0" w:after="0" w:line="408" w:lineRule="exact"/>
        <w:ind w:left="0" w:right="0" w:firstLine="576"/>
        <w:jc w:val="left"/>
      </w:pPr>
      <w:r>
        <w:rPr/>
        <w:t xml:space="preserve">(b) Identification of secondary and postsecondary education and training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Informs students about course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postsecondary goals;</w:t>
      </w:r>
    </w:p>
    <w:p>
      <w:pPr>
        <w:spacing w:before="0" w:after="0" w:line="408" w:lineRule="exact"/>
        <w:ind w:left="0" w:right="0" w:firstLine="576"/>
        <w:jc w:val="left"/>
      </w:pPr>
      <w:r>
        <w:rPr/>
        <w:t xml:space="preserve">(v) Informs students about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w:t>
      </w:r>
    </w:p>
    <w:p>
      <w:pPr>
        <w:spacing w:before="0" w:after="0" w:line="408" w:lineRule="exact"/>
        <w:ind w:left="0" w:right="0" w:firstLine="576"/>
        <w:jc w:val="left"/>
      </w:pPr>
      <w:r>
        <w:rPr/>
        <w:t xml:space="preserve">(vii) If applicable, identifies career and technical education and work-based learning opportunities that can lead to technical college certifications and apprenticeships; and</w:t>
      </w:r>
    </w:p>
    <w:p>
      <w:pPr>
        <w:spacing w:before="0" w:after="0" w:line="408" w:lineRule="exact"/>
        <w:ind w:left="0" w:right="0" w:firstLine="576"/>
        <w:jc w:val="left"/>
      </w:pPr>
      <w:r>
        <w:rPr/>
        <w:t xml:space="preserve">(viii) If applicable, identifies opportunities for credit recovery and acceleration, including partial and mastery-based credit accrual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created in RCW 28B.92.200, and other scholarship opportunities;</w:t>
      </w:r>
    </w:p>
    <w:p>
      <w:pPr>
        <w:spacing w:before="0" w:after="0" w:line="408" w:lineRule="exact"/>
        <w:ind w:left="0" w:right="0" w:firstLine="576"/>
        <w:jc w:val="left"/>
      </w:pPr>
      <w:r>
        <w:rPr/>
        <w:t xml:space="preserve">(ii) The documentation necessary for completing state and federal financial aid applications; application timeliness and submission deadlines; and the importance of submitting applications early;</w:t>
      </w:r>
    </w:p>
    <w:p>
      <w:pPr>
        <w:spacing w:before="0" w:after="0" w:line="408" w:lineRule="exact"/>
        <w:ind w:left="0" w:right="0" w:firstLine="576"/>
        <w:jc w:val="left"/>
      </w:pPr>
      <w:r>
        <w:rPr/>
        <w:t xml:space="preserve">(iii) Information specific to students who are or have been the subject of a dependency proceeding pursuant to chapter 13.34 RCW, who are or are at risk of being homeless, and whose family member or legal guardian will be required to provide financial and tax information necessary to complete applications;</w:t>
      </w:r>
    </w:p>
    <w:p>
      <w:pPr>
        <w:spacing w:before="0" w:after="0" w:line="408" w:lineRule="exact"/>
        <w:ind w:left="0" w:right="0" w:firstLine="576"/>
        <w:jc w:val="left"/>
      </w:pPr>
      <w:r>
        <w:rPr/>
        <w:t xml:space="preserve">(iv) Opportunities to participate in advising days and seminars that assist students and, when necessary, their parents or legal guardians, with filling out financial aid applications in accordance with RCW 28A.300.815; and</w:t>
      </w:r>
    </w:p>
    <w:p>
      <w:pPr>
        <w:spacing w:before="0" w:after="0" w:line="408" w:lineRule="exact"/>
        <w:ind w:left="0" w:right="0" w:firstLine="576"/>
        <w:jc w:val="left"/>
      </w:pPr>
      <w:r>
        <w:rPr/>
        <w:t xml:space="preserve">(v) A sample financial aid letter and a link to the financial aid calculator created in RCW 28B.77.280;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(7)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(8)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strike/>
        </w:rPr>
        <w:t xml:space="preserve">(a) Enable students to create, personalize, and revise their high school and beyond plan as required by RCW 28A.230.090;</w:t>
      </w:r>
    </w:p>
    <w:p>
      <w:pPr>
        <w:spacing w:before="0" w:after="0" w:line="408" w:lineRule="exact"/>
        <w:ind w:left="0" w:right="0" w:firstLine="576"/>
        <w:jc w:val="left"/>
      </w:pPr>
      <w:r>
        <w:rPr>
          <w:strike/>
        </w:rPr>
        <w:t xml:space="preserve">(b) Grant parents or guardians, educators, and counselors appropriate access to students' high school and beyond plans;</w:t>
      </w:r>
    </w:p>
    <w:p>
      <w:pPr>
        <w:spacing w:before="0" w:after="0" w:line="408" w:lineRule="exact"/>
        <w:ind w:left="0" w:right="0" w:firstLine="576"/>
        <w:jc w:val="left"/>
      </w:pPr>
      <w:r>
        <w:rPr>
          <w:strike/>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strike/>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strike/>
        </w:rPr>
        <w:t xml:space="preserve">(e) Comply with state and federal requirements for student privacy;</w:t>
      </w:r>
    </w:p>
    <w:p>
      <w:pPr>
        <w:spacing w:before="0" w:after="0" w:line="408" w:lineRule="exact"/>
        <w:ind w:left="0" w:right="0" w:firstLine="576"/>
        <w:jc w:val="left"/>
      </w:pPr>
      <w:r>
        <w:rPr>
          <w:strike/>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strike/>
        </w:rPr>
        <w:t xml:space="preserve">(g) To the extent possible, include platforms in use by school districts during the 2018-19 school year.</w:t>
      </w:r>
    </w:p>
    <w:p>
      <w:pPr>
        <w:spacing w:before="0" w:after="0" w:line="408" w:lineRule="exact"/>
        <w:ind w:left="0" w:right="0" w:firstLine="576"/>
        <w:jc w:val="left"/>
      </w:pPr>
      <w:r>
        <w:rPr>
          <w:strike/>
        </w:rPr>
        <w:t xml:space="preserve">(3)</w:t>
      </w:r>
      <w:r>
        <w:t>))</w:t>
      </w:r>
      <w:r>
        <w:rPr/>
        <w:t xml:space="preserve">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t>((</w:t>
      </w:r>
      <w:r>
        <w:rPr>
          <w:strike/>
        </w:rPr>
        <w:t xml:space="preserve">(4)</w:t>
      </w:r>
      <w:r>
        <w:t>))</w:t>
      </w:r>
      <w:r>
        <w:rPr/>
        <w:t xml:space="preserve"> </w:t>
      </w:r>
      <w:r>
        <w:rPr>
          <w:u w:val="single"/>
        </w:rPr>
        <w:t xml:space="preserve">(3) The office of the superintendent of public instruction shall facilitate the transition to a universal online high school and beyond plan platform that will ensure consistent and equitable access to the needed information and support to guide students' educational experience and ensure preparation for their postsecondary plans.</w:t>
      </w:r>
    </w:p>
    <w:p>
      <w:pPr>
        <w:spacing w:before="0" w:after="0" w:line="408" w:lineRule="exact"/>
        <w:ind w:left="0" w:right="0" w:firstLine="576"/>
        <w:jc w:val="left"/>
      </w:pPr>
      <w:r>
        <w:rPr>
          <w:u w:val="single"/>
        </w:rPr>
        <w:t xml:space="preserve">(a) By January 1, 2024, the office of the superintendent of public instruction must develop a preliminary list of existing vendors who can provide or build a platform that meets the criteria outlined in subsection (4) of this section and that supports the high school and beyond plan elements identified in section 3 of this act and has the capabilities to support the new elements identified in section 5 of this act. The office of the superintendent of public instruction must submit the list of existing vendors and estimated costs associated with statewide implementation of the universal platform to the governor and the education policy and fiscal committees of the legislature.</w:t>
      </w:r>
    </w:p>
    <w:p>
      <w:pPr>
        <w:spacing w:before="0" w:after="0" w:line="408" w:lineRule="exact"/>
        <w:ind w:left="0" w:right="0" w:firstLine="576"/>
        <w:jc w:val="left"/>
      </w:pPr>
      <w:r>
        <w:rPr>
          <w:u w:val="single"/>
        </w:rPr>
        <w:t xml:space="preserve">(b) Subject to the availability of amounts appropriated for this specific purpose, the office of the superintendent of public instruction must select the vendor that will be responsible for developing the universal platform by June 1, 2024.</w:t>
      </w:r>
    </w:p>
    <w:p>
      <w:pPr>
        <w:spacing w:before="0" w:after="0" w:line="408" w:lineRule="exact"/>
        <w:ind w:left="0" w:right="0" w:firstLine="576"/>
        <w:jc w:val="left"/>
      </w:pPr>
      <w:r>
        <w:rPr>
          <w:u w:val="single"/>
        </w:rPr>
        <w:t xml:space="preserve">(c) By October 1, 2024, the office of the superintendent of public instruction must develop an implementation plan including both an estimated timeline and updated cost estimates, including the technical assistance, technology updates, ongoing maintenance requirements, and adjustments to the technology funding formula, and statewide professional development that may be needed, for completing full statewide implementation of the universal platform in all school districts. In the implementation plan, the office of the superintendent of public instruction may include a cost alternative for educational service districts to host the universal platform for school districts of the second class when such a district does not have sufficient technology resources to implement and maintain the universal platform.</w:t>
      </w:r>
    </w:p>
    <w:p>
      <w:pPr>
        <w:spacing w:before="0" w:after="0" w:line="408" w:lineRule="exact"/>
        <w:ind w:left="0" w:right="0" w:firstLine="576"/>
        <w:jc w:val="left"/>
      </w:pPr>
      <w:r>
        <w:rPr>
          <w:u w:val="single"/>
        </w:rPr>
        <w:t xml:space="preserve">(4)(a) In addition to the requirements outlined in section 3 of this act, the universal platform must have the capability to be routinely updated and modified in order to include the following elements and capabilities to ensure equity in high school and beyond plans implementation and engagement across the state that:</w:t>
      </w:r>
    </w:p>
    <w:p>
      <w:pPr>
        <w:spacing w:before="0" w:after="0" w:line="408" w:lineRule="exact"/>
        <w:ind w:left="0" w:right="0" w:firstLine="576"/>
        <w:jc w:val="left"/>
      </w:pPr>
      <w:r>
        <w:rPr>
          <w:u w:val="single"/>
        </w:rPr>
        <w:t xml:space="preserve">(i) Enable students to create, personalize, and revise their high school and beyond plan;</w:t>
      </w:r>
    </w:p>
    <w:p>
      <w:pPr>
        <w:spacing w:before="0" w:after="0" w:line="408" w:lineRule="exact"/>
        <w:ind w:left="0" w:right="0" w:firstLine="576"/>
        <w:jc w:val="left"/>
      </w:pPr>
      <w:r>
        <w:rPr>
          <w:u w:val="single"/>
        </w:rPr>
        <w:t xml:space="preserve">(ii) Comply with all necessary state and federal requirements for student privacy and allow for students to opt in or opt out of portions of the universal platform related to third-party information sharing;</w:t>
      </w:r>
    </w:p>
    <w:p>
      <w:pPr>
        <w:spacing w:before="0" w:after="0" w:line="408" w:lineRule="exact"/>
        <w:ind w:left="0" w:right="0" w:firstLine="576"/>
        <w:jc w:val="left"/>
      </w:pPr>
      <w:r>
        <w:rPr>
          <w:u w:val="single"/>
        </w:rPr>
        <w:t xml:space="preserve">(iii) Use technology that can quickly be adapted to include future statutory changes, administrative changes, or both, as well as integrate enhancements to improve the features and functionality;</w:t>
      </w:r>
    </w:p>
    <w:p>
      <w:pPr>
        <w:spacing w:before="0" w:after="0" w:line="408" w:lineRule="exact"/>
        <w:ind w:left="0" w:right="0" w:firstLine="576"/>
        <w:jc w:val="left"/>
      </w:pPr>
      <w:r>
        <w:rPr>
          <w:u w:val="single"/>
        </w:rPr>
        <w:t xml:space="preserve">(iv) Facilitate the automatic import of academic course, credit, and grade data at a regular interval from the most commonly used district student information system platforms and manual import from less commonly used systems so that students' progress towards graduation in the high school beyond plan is accurately reflected at any given time;</w:t>
      </w:r>
    </w:p>
    <w:p>
      <w:pPr>
        <w:spacing w:before="0" w:after="0" w:line="408" w:lineRule="exact"/>
        <w:ind w:left="0" w:right="0" w:firstLine="576"/>
        <w:jc w:val="left"/>
      </w:pPr>
      <w:r>
        <w:rPr>
          <w:u w:val="single"/>
        </w:rPr>
        <w:t xml:space="preserve">(v) Allow for translation into the most common non-English languages across the state in accordance with the model language access policy and procedures as required under chapter 28A.183 RCW;</w:t>
      </w:r>
    </w:p>
    <w:p>
      <w:pPr>
        <w:spacing w:before="0" w:after="0" w:line="408" w:lineRule="exact"/>
        <w:ind w:left="0" w:right="0" w:firstLine="576"/>
        <w:jc w:val="left"/>
      </w:pPr>
      <w:r>
        <w:rPr>
          <w:u w:val="single"/>
        </w:rPr>
        <w:t xml:space="preserve">(vi) Include multiple and varied in-platform assessments with viewable results that can inform career and postsecondary goals including, but not limited to, personality, learning styles, interests, aptitudes, and skills assessments;</w:t>
      </w:r>
    </w:p>
    <w:p>
      <w:pPr>
        <w:spacing w:before="0" w:after="0" w:line="408" w:lineRule="exact"/>
        <w:ind w:left="0" w:right="0" w:firstLine="576"/>
        <w:jc w:val="left"/>
      </w:pPr>
      <w:r>
        <w:rPr>
          <w:u w:val="single"/>
        </w:rPr>
        <w:t xml:space="preserve">(vii) Include a catalog containing meaningful, high quality career exploration opportunities and resources beyond the traditional college, career, and aptitude assessments that are submitted by approved entities (community organizations, institutions of higher education that are authorized to participate in state financial aid programs under chapter 28B.92 RCW, and employers) and vetted by state-selected approvers that allow students to register for or apply to participate in the opportunities (programs, classes, internships, preapprenticeships, online courses, etc.) or access the resources. The universal platform should use completion data from these opportunities to make recommendations to students to include in their high school beyond plans;</w:t>
      </w:r>
    </w:p>
    <w:p>
      <w:pPr>
        <w:spacing w:before="0" w:after="0" w:line="408" w:lineRule="exact"/>
        <w:ind w:left="0" w:right="0" w:firstLine="576"/>
        <w:jc w:val="left"/>
      </w:pPr>
      <w:r>
        <w:rPr>
          <w:u w:val="single"/>
        </w:rPr>
        <w:t xml:space="preserve">(viii) A dedicated space in which to build a direct connection to potential employers, including industry associations, trade associations, labor unions, service branches of the military, nonprofit organizations, and other state and local community organizations so students can learn from experts in different occupational fields about career opportunities and any necessary education and training requirements;</w:t>
      </w:r>
    </w:p>
    <w:p>
      <w:pPr>
        <w:spacing w:before="0" w:after="0" w:line="408" w:lineRule="exact"/>
        <w:ind w:left="0" w:right="0" w:firstLine="576"/>
        <w:jc w:val="left"/>
      </w:pPr>
      <w:r>
        <w:rPr>
          <w:u w:val="single"/>
        </w:rPr>
        <w:t xml:space="preserve">(ix) A secure space for staff, parents or guardians, and approved community partners who support students' academic progress and career and college preparation, to make notes that can inform staff efforts to connect students to academic and career connected learning opportunities and develop support and credit recovery plans for students, as needed;</w:t>
      </w:r>
    </w:p>
    <w:p>
      <w:pPr>
        <w:spacing w:before="0" w:after="0" w:line="408" w:lineRule="exact"/>
        <w:ind w:left="0" w:right="0" w:firstLine="576"/>
        <w:jc w:val="left"/>
      </w:pPr>
      <w:r>
        <w:rPr>
          <w:u w:val="single"/>
        </w:rPr>
        <w:t xml:space="preserve">(x)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(xi) Indefinite access for students to their high school beyond plan, regardless of current school affiliation or lack thereof, in both mobile and desktop applications, that includes the capability to download and print their plan in one document, without requiring students to access multiple screens;</w:t>
      </w:r>
    </w:p>
    <w:p>
      <w:pPr>
        <w:spacing w:before="0" w:after="0" w:line="408" w:lineRule="exact"/>
        <w:ind w:left="0" w:right="0" w:firstLine="576"/>
        <w:jc w:val="left"/>
      </w:pPr>
      <w:r>
        <w:rPr>
          <w:u w:val="single"/>
        </w:rPr>
        <w:t xml:space="preserve">(xii) Inclusion of in-state labor market, apprenticeship, and postsecondary education performance data, including employment and earning outcomes, certificate and degree completion outcomes, and demographics of enrolled students or employees, to inform students' exploration and consideration of postsecondary options;</w:t>
      </w:r>
    </w:p>
    <w:p>
      <w:pPr>
        <w:spacing w:before="0" w:after="0" w:line="408" w:lineRule="exact"/>
        <w:ind w:left="0" w:right="0" w:firstLine="576"/>
        <w:jc w:val="left"/>
      </w:pPr>
      <w:r>
        <w:rPr>
          <w:u w:val="single"/>
        </w:rPr>
        <w:t xml:space="preserve">(xiii) A dedicated space where students can store additional evidence of their learning and postsecondary preparation, such as videos, essays, art, awards and recognitions, screencasts, letters of recommendation, industry certifications, microcredentials or other mastery-based learning recognitions, and work-integrated learning experiences. The universal platform should include the ability for students and staff to provide access to this portfolio in its entirety or in selected parts to relevant third parties, including institutions of higher education that are authorized to participate in state financial aid programs under chapter 28B.92 RCW, branches of the military, potential employers, or preapprenticeship opportunities;</w:t>
      </w:r>
    </w:p>
    <w:p>
      <w:pPr>
        <w:spacing w:before="0" w:after="0" w:line="408" w:lineRule="exact"/>
        <w:ind w:left="0" w:right="0" w:firstLine="576"/>
        <w:jc w:val="left"/>
      </w:pPr>
      <w:r>
        <w:rPr>
          <w:u w:val="single"/>
        </w:rPr>
        <w:t xml:space="preserve">(xiv) Access to data reporting features that allow schools, districts, and state agencies to review data stored within the universal platform, and allow data to be broken down by demographic, socioeconomic, and other identified characteristics, for the purposes of analyzing student use of the universal platform, improving student access to the information, guidance, and opportunities that can help them maximize their secondary education experience and postsecondary preparation, and informing state-level support for high school and beyond plan implementation;</w:t>
      </w:r>
    </w:p>
    <w:p>
      <w:pPr>
        <w:spacing w:before="0" w:after="0" w:line="408" w:lineRule="exact"/>
        <w:ind w:left="0" w:right="0" w:firstLine="576"/>
        <w:jc w:val="left"/>
      </w:pPr>
      <w:r>
        <w:rPr>
          <w:u w:val="single"/>
        </w:rPr>
        <w:t xml:space="preserve">(xv) A space for the student to indicate the graduation pathway option or options the student has selected to complete and how the selected option or options align with the student's career and postsecondary education goals; and</w:t>
      </w:r>
    </w:p>
    <w:p>
      <w:pPr>
        <w:spacing w:before="0" w:after="0" w:line="408" w:lineRule="exact"/>
        <w:ind w:left="0" w:right="0" w:firstLine="576"/>
        <w:jc w:val="left"/>
      </w:pPr>
      <w:r>
        <w:rPr>
          <w:u w:val="single"/>
        </w:rPr>
        <w:t xml:space="preserve">(xvi) The ability for school districts to customize or add features unique to local needs and local graduation requirements, including the capability to auto-align data with the local school districts' graduation requirements or the ability to enter those requirements manually.</w:t>
      </w:r>
    </w:p>
    <w:p>
      <w:pPr>
        <w:spacing w:before="0" w:after="0" w:line="408" w:lineRule="exact"/>
        <w:ind w:left="0" w:right="0" w:firstLine="576"/>
        <w:jc w:val="left"/>
      </w:pPr>
      <w:r>
        <w:rPr>
          <w:u w:val="single"/>
        </w:rPr>
        <w:t xml:space="preserve">(b) The office of the superintendent of public instruction must also ensure that the universal platform will permit transition plans required by RCW 28A.155.220 to be incorporated into the universal platform in a manner that eliminates the need to create duplicate or substantially similar transition plans in other electronic or nonelectronic formats.</w:t>
      </w:r>
    </w:p>
    <w:p>
      <w:pPr>
        <w:spacing w:before="0" w:after="0" w:line="408" w:lineRule="exact"/>
        <w:ind w:left="0" w:right="0" w:firstLine="576"/>
        <w:jc w:val="left"/>
      </w:pPr>
      <w:r>
        <w:rPr>
          <w:u w:val="single"/>
        </w:rPr>
        <w:t xml:space="preserve">(5)(a) Within two years of completing the universal platform development and alignment with the requirements in this section and section 3 of this act, school districts must provide students with access to the adopted universal platform.</w:t>
      </w:r>
    </w:p>
    <w:p>
      <w:pPr>
        <w:spacing w:before="0" w:after="0" w:line="408" w:lineRule="exact"/>
        <w:ind w:left="0" w:right="0" w:firstLine="576"/>
        <w:jc w:val="left"/>
      </w:pPr>
      <w:r>
        <w:rPr>
          <w:u w:val="single"/>
        </w:rPr>
        <w:t xml:space="preserve">(b) The office of the superintendent of public instruction must develop guidance and provide technical assistance and support for the facilitation of statewide professional development for school districts and partner organizations in using the universal platform.</w:t>
      </w:r>
    </w:p>
    <w:p>
      <w:pPr>
        <w:spacing w:before="0" w:after="0" w:line="408" w:lineRule="exact"/>
        <w:ind w:left="0" w:right="0" w:firstLine="576"/>
        <w:jc w:val="left"/>
      </w:pPr>
      <w:r>
        <w:rPr>
          <w:u w:val="single"/>
        </w:rPr>
        <w:t xml:space="preserve">(6) In carrying out subsections (3)(b) and (4) of this section, the office of the superintendent of public instruction shall seek input from the state board of education, educators, school and district administrators, school counselors, career counseling specialists, families, students, the Washington student achievement council, institutions of higher education that are authorized to participate in state financial aid programs under chapter 28B.92 RCW, and community partners who support students' career and college preparation. The office of the superintendent of public instruction may partner with existing community and regional networks and organizations who support students' career and college preparation in the analysis, selection, and implementation of the universal platform.</w:t>
      </w:r>
    </w:p>
    <w:p>
      <w:pPr>
        <w:spacing w:before="0" w:after="0" w:line="408" w:lineRule="exact"/>
        <w:ind w:left="0" w:right="0" w:firstLine="576"/>
        <w:jc w:val="left"/>
      </w:pPr>
      <w:r>
        <w:rPr>
          <w:u w:val="single"/>
        </w:rPr>
        <w:t xml:space="preserve">(7) As used in this section "universal platform" means the universal online high school and beyond plan platform.</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selection of the vendor for the universal online high school and beyond plan platform as required in RCW 28A.230.215, the office of the superintendent of public instruction, in consultation with the state board of education, shall report to the governor and education committees of the legislature recommendations for additional policy changes related to transitioning the current high school and beyond plan and universal platform into a more robust online learning platform that can be used starting as early as fifth grade and that will provide greater student agency over student learning and provide opportunities for students to more meaningfully explore their strengths, interests, and future aspirations. In addition to the existing high school and beyond plan elements identified in RCW 28A.230.215, the recommendations should examine and incorporate the following elements:</w:t>
      </w:r>
    </w:p>
    <w:p>
      <w:pPr>
        <w:spacing w:before="0" w:after="0" w:line="408" w:lineRule="exact"/>
        <w:ind w:left="0" w:right="0" w:firstLine="576"/>
        <w:jc w:val="left"/>
      </w:pPr>
      <w:r>
        <w:rPr/>
        <w:t xml:space="preserve">(a) A way to begin student use of a learning plan that utilizes the universal online high school and beyond plan platform no later than the fifth grade and includes ways to introduce career awareness and exploration opportunities in elementary grades as foundational support to students;</w:t>
      </w:r>
    </w:p>
    <w:p>
      <w:pPr>
        <w:spacing w:before="0" w:after="0" w:line="408" w:lineRule="exact"/>
        <w:ind w:left="0" w:right="0" w:firstLine="576"/>
        <w:jc w:val="left"/>
      </w:pPr>
      <w:r>
        <w:rPr/>
        <w:t xml:space="preserve">(b) Strategies for students to share their interests and engage with peers and mentors in order to obtain ongoing feedback and access to activities and learning opportunities that connect to their goals;</w:t>
      </w:r>
    </w:p>
    <w:p>
      <w:pPr>
        <w:spacing w:before="0" w:after="0" w:line="408" w:lineRule="exact"/>
        <w:ind w:left="0" w:right="0" w:firstLine="576"/>
        <w:jc w:val="left"/>
      </w:pPr>
      <w:r>
        <w:rPr/>
        <w:t xml:space="preserve">(c) Recommended calendar, schedule, and delivery options to ensure dedicated classroom time so that students are supported in engaging with and updating their plans multiple times per year;</w:t>
      </w:r>
    </w:p>
    <w:p>
      <w:pPr>
        <w:spacing w:before="0" w:after="0" w:line="408" w:lineRule="exact"/>
        <w:ind w:left="0" w:right="0" w:firstLine="576"/>
        <w:jc w:val="left"/>
      </w:pPr>
      <w:r>
        <w:rPr/>
        <w:t xml:space="preserve">(d) Strategies that increase student and family engagement with the learning plan process and encourages students to meaningfully explore their strengths, skills, and interests on an ongoing basis;</w:t>
      </w:r>
    </w:p>
    <w:p>
      <w:pPr>
        <w:spacing w:before="0" w:after="0" w:line="408" w:lineRule="exact"/>
        <w:ind w:left="0" w:right="0" w:firstLine="576"/>
        <w:jc w:val="left"/>
      </w:pPr>
      <w:r>
        <w:rPr/>
        <w:t xml:space="preserve">(e) Ways the universal online high school and beyond plan platform can support implementation of recommendations developed by the state board of education under subsection (2) of this section.</w:t>
      </w:r>
    </w:p>
    <w:p>
      <w:pPr>
        <w:spacing w:before="0" w:after="0" w:line="408" w:lineRule="exact"/>
        <w:ind w:left="0" w:right="0" w:firstLine="576"/>
        <w:jc w:val="left"/>
      </w:pPr>
      <w:r>
        <w:rPr/>
        <w:t xml:space="preserve">(2) The state board of education shall develop recommendations on how the high school and beyond plan could be modified to further support student choice and flexibility in meeting graduation requirements and preparing for postsecondary education and training, including increasing access to mastery-based learning and mastery-based crediting opportunities. The state board of education shall report the recommendations developed under this subsection to the governor and education committees of the legislature.</w:t>
      </w:r>
    </w:p>
    <w:p>
      <w:pPr>
        <w:spacing w:before="0" w:after="0" w:line="408" w:lineRule="exact"/>
        <w:ind w:left="0" w:right="0" w:firstLine="576"/>
        <w:jc w:val="left"/>
      </w:pPr>
      <w:r>
        <w:rPr/>
        <w:t xml:space="preserve">(3) The reports required under this section shall be submitted to the governor and the education committees of the legislature, in accordance with RCW 43.01.036, by August 1, 2025.</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w:t>
      </w:r>
      <w:r>
        <w:t>((</w:t>
      </w:r>
      <w:r>
        <w:rPr>
          <w:strike/>
        </w:rPr>
        <w:t xml:space="preserve">as defined in RCW 28B.10.016</w:t>
      </w:r>
      <w:r>
        <w:t>))</w:t>
      </w:r>
      <w:r>
        <w:rPr/>
        <w:t xml:space="preserve"> </w:t>
      </w:r>
      <w:r>
        <w:rPr>
          <w:u w:val="single"/>
        </w:rPr>
        <w:t xml:space="preserve">that are authorized to participate in state financial aid programs under chapter 28B.92 RCW</w:t>
      </w:r>
      <w:r>
        <w:rPr/>
        <w:t xml:space="preserve">,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3 of this act and RCW 28A.230.215</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3 of this act and RCW 28A.230.215</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3 of this act and RCW 28A.230.215</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RCW 28A.230.090 </w:t>
      </w:r>
      <w:r>
        <w:rPr>
          <w:u w:val="single"/>
        </w:rPr>
        <w:t xml:space="preserve">and in accordance with section 3 of this act and RCW 28A.230.215</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w:t>
      </w:r>
      <w:r>
        <w:rPr>
          <w:u w:val="single"/>
        </w:rPr>
        <w:t xml:space="preserve">and in accordance with section 3 of this act and RCW 28A.230.215</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
      <w:pPr>
        <w:jc w:val="center"/>
      </w:pPr>
      <w:r>
        <w:rPr>
          <w:b/>
        </w:rPr>
        <w:t>--- END ---</w:t>
      </w:r>
    </w:p>
    <w:sectPr>
      <w:pgNumType w:start="1"/>
      <w:footerReference xmlns:r="http://schemas.openxmlformats.org/officeDocument/2006/relationships" r:id="R9a79d97aa3df40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b31c412a74b7a" /><Relationship Type="http://schemas.openxmlformats.org/officeDocument/2006/relationships/footer" Target="/word/footer1.xml" Id="R9a79d97aa3df4039" /></Relationships>
</file>