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ee105e18bd40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6058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28</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6058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6058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Nguyen, Hunt, Kuderer, Liias, Mullet, Pedersen, Saldaña, Shewmake, and Stanford; by request of Department of Ecology)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linkage of Washington's carbon market with the California-Quebec carbon market; amending RCW 70A.65.010, 70A.65.060, 70A.65.070, 70A.65.080, 70A.65.100, 70A.65.110, 70A.65.170, 70A.65.200, 70A.65.210, 70A.65.310, and 70A.15.2200; adding a new section to chapter 70A.65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010</w:t>
      </w:r>
      <w:r>
        <w:rPr/>
        <w:t xml:space="preserve"> and 2022 c 181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an asset controlling supplier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"Best available technology" means a technology or technologies that will achieve the greatest reduction in greenhouse gas emissions, taking into account the fuels, processes, and equipment used by facilities to produce goods of comparable type, quantity, and quality.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(11)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municipal wastewater and industrial waste, including gases and liquids recovered from the decomposition of nonfossilized and biodegradable organic material.</w:t>
      </w:r>
    </w:p>
    <w:p>
      <w:pPr>
        <w:spacing w:before="0" w:after="0" w:line="408" w:lineRule="exact"/>
        <w:ind w:left="0" w:right="0" w:firstLine="576"/>
        <w:jc w:val="left"/>
      </w:pPr>
      <w:r>
        <w:rPr/>
        <w:t xml:space="preserve">(12) "Biomass-derived fuels," "biomass fuels," or "biofuels" means </w:t>
      </w:r>
      <w:r>
        <w:t>((</w:t>
      </w:r>
      <w:r>
        <w:rPr>
          <w:strike/>
        </w:rPr>
        <w:t xml:space="preserve">fuels derived from biomass that have at least 40 percent lower greenhouse gas emissions based on a full life-cycle analysis when compared to petroleum fuels for which biofuels are capable as serving as a substitute</w:t>
      </w:r>
      <w:r>
        <w:t>))</w:t>
      </w:r>
      <w:r>
        <w:rPr/>
        <w:t xml:space="preserve"> </w:t>
      </w:r>
      <w:r>
        <w:rPr>
          <w:u w:val="single"/>
        </w:rPr>
        <w:t xml:space="preserve">whichever of the following fuels derived from biomass has lower associated life-cycle greenhouse gas emissions: (a) Fuels that have at least 30 percent lower greenhouse gas emissions based on a full life-cycle analysis when compared to petroleum fuels for which biofuels are capable as serving as a substitute; or (b) fuels that meet a standard adopted by the department by rule that align with the definition of biofuel, or other standards applicable to biofuel, established by a jurisdiction with which the department has entered into a linkage agreement</w:t>
      </w:r>
      <w:r>
        <w:rPr/>
        <w:t xml:space="preserve">.</w:t>
      </w:r>
    </w:p>
    <w:p>
      <w:pPr>
        <w:spacing w:before="0" w:after="0" w:line="408" w:lineRule="exact"/>
        <w:ind w:left="0" w:right="0" w:firstLine="576"/>
        <w:jc w:val="left"/>
      </w:pPr>
      <w:r>
        <w:rPr/>
        <w:t xml:space="preserve">(13)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(14)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and direct air capture and storage.</w:t>
      </w:r>
    </w:p>
    <w:p>
      <w:pPr>
        <w:spacing w:before="0" w:after="0" w:line="408" w:lineRule="exact"/>
        <w:ind w:left="0" w:right="0" w:firstLine="576"/>
        <w:jc w:val="left"/>
      </w:pPr>
      <w:r>
        <w:rPr/>
        <w:t xml:space="preserve">(15)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(16)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(17)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(18)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(19)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(20) "Compliance period" means the four-year period</w:t>
      </w:r>
      <w:r>
        <w:rPr>
          <w:u w:val="single"/>
        </w:rPr>
        <w:t xml:space="preserve">, except as provided in RCW 70A.65.070(1)(a)(ii),</w:t>
      </w:r>
      <w:r>
        <w:rPr/>
        <w:t xml:space="preserve"> for which the compliance obligation is calculated for covered entities.</w:t>
      </w:r>
    </w:p>
    <w:p>
      <w:pPr>
        <w:spacing w:before="0" w:after="0" w:line="408" w:lineRule="exact"/>
        <w:ind w:left="0" w:right="0" w:firstLine="576"/>
        <w:jc w:val="left"/>
      </w:pPr>
      <w:r>
        <w:rPr/>
        <w:t xml:space="preserve">(21)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(22) "Covered emissions" means the emissions for which a covered entity has a compliance obligation under RCW 70A.65.080.</w:t>
      </w:r>
    </w:p>
    <w:p>
      <w:pPr>
        <w:spacing w:before="0" w:after="0" w:line="408" w:lineRule="exact"/>
        <w:ind w:left="0" w:right="0" w:firstLine="576"/>
        <w:jc w:val="left"/>
      </w:pPr>
      <w:r>
        <w:rPr/>
        <w:t xml:space="preserve">(23) "Covered entity" means a person that is designated by the department as subject to RCW 70A.65.060 through 70A.65.210.</w:t>
      </w:r>
    </w:p>
    <w:p>
      <w:pPr>
        <w:spacing w:before="0" w:after="0" w:line="408" w:lineRule="exact"/>
        <w:ind w:left="0" w:right="0" w:firstLine="576"/>
        <w:jc w:val="left"/>
      </w:pPr>
      <w:r>
        <w:rPr/>
        <w:t xml:space="preserve">(24) "Cumulative environmental health impact" has the same meaning as provided in RCW 70A.02.010.</w:t>
      </w:r>
    </w:p>
    <w:p>
      <w:pPr>
        <w:spacing w:before="0" w:after="0" w:line="408" w:lineRule="exact"/>
        <w:ind w:left="0" w:right="0" w:firstLine="576"/>
        <w:jc w:val="left"/>
      </w:pPr>
      <w:r>
        <w:rPr/>
        <w:t xml:space="preserve">(25)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(26) "Department" means the department of ecology.</w:t>
      </w:r>
    </w:p>
    <w:p>
      <w:pPr>
        <w:spacing w:before="0" w:after="0" w:line="408" w:lineRule="exact"/>
        <w:ind w:left="0" w:right="0" w:firstLine="576"/>
        <w:jc w:val="left"/>
      </w:pPr>
      <w:r>
        <w:rPr/>
        <w:t xml:space="preserve">(27)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RCW 70A.65.080(1)(c);</w:t>
      </w:r>
    </w:p>
    <w:p>
      <w:pPr>
        <w:spacing w:before="0" w:after="0" w:line="408" w:lineRule="exact"/>
        <w:ind w:left="0" w:right="0" w:firstLine="576"/>
        <w:jc w:val="left"/>
      </w:pPr>
      <w:r>
        <w:rPr/>
        <w:t xml:space="preserve">(d) </w:t>
      </w:r>
      <w:r>
        <w:rPr>
          <w:u w:val="single"/>
        </w:rPr>
        <w:t xml:space="preserve">For electricity provided as balancing energy in the state of Washington, including balancing energy that is also inside a balancing authority area that is not located entirely within the state of Washington, the electricity importer may be defined by the department by rule;</w:t>
      </w:r>
    </w:p>
    <w:p>
      <w:pPr>
        <w:spacing w:before="0" w:after="0" w:line="408" w:lineRule="exact"/>
        <w:ind w:left="0" w:right="0" w:firstLine="576"/>
        <w:jc w:val="left"/>
      </w:pPr>
      <w:r>
        <w:rPr>
          <w:u w:val="single"/>
        </w:rPr>
        <w:t xml:space="preserve">(e)</w:t>
      </w:r>
      <w:r>
        <w:rPr/>
        <w:t xml:space="preserve">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the importer identified under </w:t>
      </w:r>
      <w:r>
        <w:t>((</w:t>
      </w:r>
      <w:r>
        <w:rPr>
          <w:strike/>
        </w:rPr>
        <w:t xml:space="preserve">(f)</w:t>
      </w:r>
      <w:r>
        <w:t>))</w:t>
      </w:r>
      <w:r>
        <w:rPr/>
        <w:t xml:space="preserve"> </w:t>
      </w:r>
      <w:r>
        <w:rPr>
          <w:u w:val="single"/>
        </w:rPr>
        <w:t xml:space="preserve">(g)</w:t>
      </w:r>
      <w:r>
        <w:rPr/>
        <w:t xml:space="preserve"> of this subsection has not voluntarily elected to comply with the program, then the electricity importer is the public body or cooperative customer or direct service industrial customer; </w:t>
      </w:r>
      <w:r>
        <w:t>((</w:t>
      </w:r>
      <w:r>
        <w:rPr>
          <w:strike/>
        </w:rPr>
        <w:t xml:space="preserve">or</w:t>
      </w:r>
    </w:p>
    <w:p>
      <w:pPr>
        <w:spacing w:before="0" w:after="0" w:line="408" w:lineRule="exact"/>
        <w:ind w:left="0" w:right="0" w:firstLine="576"/>
        <w:jc w:val="left"/>
      </w:pPr>
      <w:r>
        <w:rPr>
          <w:strike/>
        </w:rPr>
        <w:t xml:space="preserve">(h)</w:t>
      </w:r>
      <w:r>
        <w:t>))</w:t>
      </w:r>
      <w:r>
        <w:rPr/>
        <w:t xml:space="preserve"> </w:t>
      </w:r>
      <w:r>
        <w:rPr>
          <w:u w:val="single"/>
        </w:rPr>
        <w:t xml:space="preserve">(i)</w:t>
      </w:r>
      <w:r>
        <w:rPr/>
        <w:t xml:space="preserve"> For electricity from facilities allocated to a consumer-owned utility inside the state of Washington from a multijurisdictional consumer-owned utility, the electricity importer is the consumer-owned utility inside the state of Washington</w:t>
      </w:r>
      <w:r>
        <w:rPr>
          <w:u w:val="single"/>
        </w:rPr>
        <w:t xml:space="preserve">; or</w:t>
      </w:r>
    </w:p>
    <w:p>
      <w:pPr>
        <w:spacing w:before="0" w:after="0" w:line="408" w:lineRule="exact"/>
        <w:ind w:left="0" w:right="0" w:firstLine="576"/>
        <w:jc w:val="left"/>
      </w:pPr>
      <w:r>
        <w:rPr>
          <w:u w:val="single"/>
        </w:rPr>
        <w:t xml:space="preserve">(j) For imported electricity not otherwise assigned an electricity importer by this subsection, the electricity importer may be defined by the department by rule</w:t>
      </w:r>
      <w:r>
        <w:rPr/>
        <w:t xml:space="preserve">.</w:t>
      </w:r>
    </w:p>
    <w:p>
      <w:pPr>
        <w:spacing w:before="0" w:after="0" w:line="408" w:lineRule="exact"/>
        <w:ind w:left="0" w:right="0" w:firstLine="576"/>
        <w:jc w:val="left"/>
      </w:pPr>
      <w:r>
        <w:rPr/>
        <w:t xml:space="preserve">(28)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(29)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(30) "Emissions threshold" means the greenhouse gas emission level at or above which a person has a compliance obligation.</w:t>
      </w:r>
    </w:p>
    <w:p>
      <w:pPr>
        <w:spacing w:before="0" w:after="0" w:line="408" w:lineRule="exact"/>
        <w:ind w:left="0" w:right="0" w:firstLine="576"/>
        <w:jc w:val="left"/>
      </w:pPr>
      <w:r>
        <w:rPr/>
        <w:t xml:space="preserve">(31) "Environmental benefits" has the same meaning as defined in RCW 70A.02.010.</w:t>
      </w:r>
    </w:p>
    <w:p>
      <w:pPr>
        <w:spacing w:before="0" w:after="0" w:line="408" w:lineRule="exact"/>
        <w:ind w:left="0" w:right="0" w:firstLine="576"/>
        <w:jc w:val="left"/>
      </w:pPr>
      <w:r>
        <w:rPr/>
        <w:t xml:space="preserve">(32) "Environmental harm" has the same meaning as defined in RCW 70A.02.010.</w:t>
      </w:r>
    </w:p>
    <w:p>
      <w:pPr>
        <w:spacing w:before="0" w:after="0" w:line="408" w:lineRule="exact"/>
        <w:ind w:left="0" w:right="0" w:firstLine="576"/>
        <w:jc w:val="left"/>
      </w:pPr>
      <w:r>
        <w:rPr/>
        <w:t xml:space="preserve">(33) "Environmental impacts" has the same meaning as defined in RCW 70A.02.010.</w:t>
      </w:r>
    </w:p>
    <w:p>
      <w:pPr>
        <w:spacing w:before="0" w:after="0" w:line="408" w:lineRule="exact"/>
        <w:ind w:left="0" w:right="0" w:firstLine="576"/>
        <w:jc w:val="left"/>
      </w:pPr>
      <w:r>
        <w:rPr/>
        <w:t xml:space="preserve">(34) "Environmental justice" has the same meaning as defined in RCW 70A.02.010.</w:t>
      </w:r>
    </w:p>
    <w:p>
      <w:pPr>
        <w:spacing w:before="0" w:after="0" w:line="408" w:lineRule="exact"/>
        <w:ind w:left="0" w:right="0" w:firstLine="576"/>
        <w:jc w:val="left"/>
      </w:pPr>
      <w:r>
        <w:rPr/>
        <w:t xml:space="preserve">(35) "Environmental justice assessment" has the same meaning as identified in RCW 70A.02.060.</w:t>
      </w:r>
    </w:p>
    <w:p>
      <w:pPr>
        <w:spacing w:before="0" w:after="0" w:line="408" w:lineRule="exact"/>
        <w:ind w:left="0" w:right="0" w:firstLine="576"/>
        <w:jc w:val="left"/>
      </w:pPr>
      <w:r>
        <w:rPr/>
        <w:t xml:space="preserve">(36)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(37)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(38)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(39)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(40) "Greenhouse gas" has the same meaning as in RCW 70A.45.010.</w:t>
      </w:r>
    </w:p>
    <w:p>
      <w:pPr>
        <w:spacing w:before="0" w:after="0" w:line="408" w:lineRule="exact"/>
        <w:ind w:left="0" w:right="0" w:firstLine="576"/>
        <w:jc w:val="left"/>
      </w:pPr>
      <w:r>
        <w:rPr/>
        <w:t xml:space="preserve">(41) "Holding limit" means the maximum number of allowances that may be held for use or trade by a registered entity at any one time.</w:t>
      </w:r>
    </w:p>
    <w:p>
      <w:pPr>
        <w:spacing w:before="0" w:after="0" w:line="408" w:lineRule="exact"/>
        <w:ind w:left="0" w:right="0" w:firstLine="576"/>
        <w:jc w:val="left"/>
      </w:pPr>
      <w:r>
        <w:rPr/>
        <w:t xml:space="preserve">(42)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w:t>
      </w:r>
      <w:r>
        <w:rPr>
          <w:u w:val="single"/>
        </w:rPr>
        <w:t xml:space="preserve">any</w:t>
      </w:r>
      <w:r>
        <w:rPr/>
        <w:t xml:space="preserve"> electricity </w:t>
      </w:r>
      <w:r>
        <w:t>((</w:t>
      </w:r>
      <w:r>
        <w:rPr>
          <w:strike/>
        </w:rPr>
        <w:t xml:space="preserve">imports of unspecified electricity that are netted by exports of unspecified electricity to any jurisdiction not covered by a linked program by the same entity within the same hour</w:t>
      </w:r>
      <w:r>
        <w:t>))</w:t>
      </w:r>
      <w:r>
        <w:rPr/>
        <w:t xml:space="preserve"> </w:t>
      </w:r>
      <w:r>
        <w:rPr>
          <w:u w:val="single"/>
        </w:rPr>
        <w:t xml:space="preserve">that the department determines by rule to be: (i) Wheeled through the state; or (ii) separately accounted for in this chapter</w:t>
      </w:r>
      <w:r>
        <w:rPr/>
        <w:t xml:space="preserve">.</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(43)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(44) "Limits" means the greenhouse gas emissions reductions required by RCW 70A.45.020.</w:t>
      </w:r>
    </w:p>
    <w:p>
      <w:pPr>
        <w:spacing w:before="0" w:after="0" w:line="408" w:lineRule="exact"/>
        <w:ind w:left="0" w:right="0" w:firstLine="576"/>
        <w:jc w:val="left"/>
      </w:pPr>
      <w:r>
        <w:rPr/>
        <w:t xml:space="preserve">(45)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(46)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(47) "Linked jurisdiction" means a jurisdiction with which Washington has entered into a linkage agreement.</w:t>
      </w:r>
    </w:p>
    <w:p>
      <w:pPr>
        <w:spacing w:before="0" w:after="0" w:line="408" w:lineRule="exact"/>
        <w:ind w:left="0" w:right="0" w:firstLine="576"/>
        <w:jc w:val="left"/>
      </w:pPr>
      <w:r>
        <w:rPr/>
        <w:t xml:space="preserve">(48)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(49)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(50)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(51)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(52) "Offset project" means a project that reduces or removes greenhouse gases that are not covered emissions under this chapter.</w:t>
      </w:r>
    </w:p>
    <w:p>
      <w:pPr>
        <w:spacing w:before="0" w:after="0" w:line="408" w:lineRule="exact"/>
        <w:ind w:left="0" w:right="0" w:firstLine="576"/>
        <w:jc w:val="left"/>
      </w:pPr>
      <w:r>
        <w:rPr/>
        <w:t xml:space="preserve">(53)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(54)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t xml:space="preserve">(a) "Overburdened community" includes, but is not limited to:</w:t>
      </w:r>
    </w:p>
    <w:p>
      <w:pPr>
        <w:spacing w:before="0" w:after="0" w:line="408" w:lineRule="exact"/>
        <w:ind w:left="0" w:right="0" w:firstLine="576"/>
        <w:jc w:val="left"/>
      </w:pPr>
      <w:r>
        <w:rPr/>
        <w:t xml:space="preserve">(i) Highly impacted communities as defined in RCW 19.405.020;</w:t>
      </w:r>
    </w:p>
    <w:p>
      <w:pPr>
        <w:spacing w:before="0" w:after="0" w:line="408" w:lineRule="exact"/>
        <w:ind w:left="0" w:right="0" w:firstLine="576"/>
        <w:jc w:val="left"/>
      </w:pPr>
      <w:r>
        <w:rPr/>
        <w:t xml:space="preserve">(ii) Communities located in census tracts that are fully or partially on "Indian country" as defined in 18 U.S.C. Sec. 1151; and</w:t>
      </w:r>
    </w:p>
    <w:p>
      <w:pPr>
        <w:spacing w:before="0" w:after="0" w:line="408" w:lineRule="exact"/>
        <w:ind w:left="0" w:right="0" w:firstLine="576"/>
        <w:jc w:val="left"/>
      </w:pPr>
      <w:r>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(b) Overburdened communities identified by the department may include the same communities as those identified by the department through its process for identifying overburdened communities under RCW 70A.02.010.</w:t>
      </w:r>
    </w:p>
    <w:p>
      <w:pPr>
        <w:spacing w:before="0" w:after="0" w:line="408" w:lineRule="exact"/>
        <w:ind w:left="0" w:right="0" w:firstLine="576"/>
        <w:jc w:val="left"/>
      </w:pPr>
      <w:r>
        <w:rPr/>
        <w:t xml:space="preserve">(55) "Person" has the same meaning as defined in RCW 70A.15.2200(5)</w:t>
      </w:r>
      <w:r>
        <w:t>((</w:t>
      </w:r>
      <w:r>
        <w:rPr>
          <w:strike/>
        </w:rPr>
        <w:t xml:space="preserve">(h)</w:t>
      </w:r>
      <w:r>
        <w:t>))</w:t>
      </w:r>
      <w:r>
        <w:rPr/>
        <w:t xml:space="preserve"> </w:t>
      </w:r>
      <w:r>
        <w:rPr>
          <w:u w:val="single"/>
        </w:rPr>
        <w:t xml:space="preserve">(g)</w:t>
      </w:r>
      <w:r>
        <w:rPr/>
        <w:t xml:space="preserve">(iii).</w:t>
      </w:r>
    </w:p>
    <w:p>
      <w:pPr>
        <w:spacing w:before="0" w:after="0" w:line="408" w:lineRule="exact"/>
        <w:ind w:left="0" w:right="0" w:firstLine="576"/>
        <w:jc w:val="left"/>
      </w:pPr>
      <w:r>
        <w:rPr/>
        <w:t xml:space="preserve">(56)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(57)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(58) "Program" means the greenhouse gas emissions cap and invest program created by and implemented pursuant to this chapter.</w:t>
      </w:r>
    </w:p>
    <w:p>
      <w:pPr>
        <w:spacing w:before="0" w:after="0" w:line="408" w:lineRule="exact"/>
        <w:ind w:left="0" w:right="0" w:firstLine="576"/>
        <w:jc w:val="left"/>
      </w:pPr>
      <w:r>
        <w:rPr/>
        <w:t xml:space="preserve">(59)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(60)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(61)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(62)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(63)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(64) "Supplier" means a supplier of fuel in Washington state as defined in RCW 70A.15.2200(5)</w:t>
      </w:r>
      <w:r>
        <w:t>((</w:t>
      </w:r>
      <w:r>
        <w:rPr>
          <w:strike/>
        </w:rPr>
        <w:t xml:space="preserve">(h)</w:t>
      </w:r>
      <w:r>
        <w:t>))</w:t>
      </w:r>
      <w:r>
        <w:rPr/>
        <w:t xml:space="preserve"> </w:t>
      </w:r>
      <w:r>
        <w:rPr>
          <w:u w:val="single"/>
        </w:rPr>
        <w:t xml:space="preserve">(g)</w:t>
      </w:r>
      <w:r>
        <w:rPr/>
        <w:t xml:space="preserve">(ii).</w:t>
      </w:r>
    </w:p>
    <w:p>
      <w:pPr>
        <w:spacing w:before="0" w:after="0" w:line="408" w:lineRule="exact"/>
        <w:ind w:left="0" w:right="0" w:firstLine="576"/>
        <w:jc w:val="left"/>
      </w:pPr>
      <w:r>
        <w:rPr/>
        <w:t xml:space="preserve">(65) "Tribal lands" has the same meaning as defined in RCW 70A.02.010.</w:t>
      </w:r>
    </w:p>
    <w:p>
      <w:pPr>
        <w:spacing w:before="0" w:after="0" w:line="408" w:lineRule="exact"/>
        <w:ind w:left="0" w:right="0" w:firstLine="576"/>
        <w:jc w:val="left"/>
      </w:pPr>
      <w:r>
        <w:rPr/>
        <w:t xml:space="preserve">(66)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(67)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(68) "Vulnerable populations" has the same meaning as defined in RCW 70A.02.010.</w:t>
      </w:r>
    </w:p>
    <w:p>
      <w:pPr>
        <w:spacing w:before="0" w:after="0" w:line="408" w:lineRule="exact"/>
        <w:ind w:left="0" w:right="0" w:firstLine="576"/>
        <w:jc w:val="left"/>
      </w:pPr>
      <w:r>
        <w:rPr>
          <w:u w:val="single"/>
        </w:rPr>
        <w:t xml:space="preserve">(69) "Electricity wheeled through the state" means electricity that is generated outside the state of Washington and delivered into Washington with the final point of delivery outside Washington including, but not limited to, electricity wheeled through the state on a single NERC e-tag, or wheeled into and out of Washington at a common point or trading hub on the power system on separate e-tags within the same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060</w:t>
      </w:r>
      <w:r>
        <w:rPr/>
        <w:t xml:space="preserve"> and 2021 c 316 s 8 are each amended to read as follows:</w:t>
      </w:r>
    </w:p>
    <w:p>
      <w:pPr>
        <w:spacing w:before="0" w:after="0" w:line="408" w:lineRule="exact"/>
        <w:ind w:left="0" w:right="0" w:firstLine="576"/>
        <w:jc w:val="left"/>
      </w:pPr>
      <w:r>
        <w:rPr/>
        <w:t xml:space="preserve">(1) In order to ensure that greenhouse gas emissions are reduced by covered entities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RCW 70A.65.070 and 70A.65.080;</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RCW 70A.65.070 and 70A.65.080;</w:t>
      </w:r>
    </w:p>
    <w:p>
      <w:pPr>
        <w:spacing w:before="0" w:after="0" w:line="408" w:lineRule="exact"/>
        <w:ind w:left="0" w:right="0" w:firstLine="576"/>
        <w:jc w:val="left"/>
      </w:pPr>
      <w:r>
        <w:rPr/>
        <w:t xml:space="preserve">(c) Distribution of emission allowances, as provided in RCW 70A.65.100, and through the allowance price containment provisions under RCW 70A.65.140 and 70A.65.150;</w:t>
      </w:r>
    </w:p>
    <w:p>
      <w:pPr>
        <w:spacing w:before="0" w:after="0" w:line="408" w:lineRule="exact"/>
        <w:ind w:left="0" w:right="0" w:firstLine="576"/>
        <w:jc w:val="left"/>
      </w:pPr>
      <w:r>
        <w:rPr/>
        <w:t xml:space="preserve">(d) Providing for offset credits as a method for meeting a compliance obligation, pursuant to RCW 70A.65.170;</w:t>
      </w:r>
    </w:p>
    <w:p>
      <w:pPr>
        <w:spacing w:before="0" w:after="0" w:line="408" w:lineRule="exact"/>
        <w:ind w:left="0" w:right="0" w:firstLine="576"/>
        <w:jc w:val="left"/>
      </w:pPr>
      <w:r>
        <w:rPr/>
        <w:t xml:space="preserve">(e) Defining the compliance obligations of covered entities, as provided in chapter 316, Laws of 2021;</w:t>
      </w:r>
    </w:p>
    <w:p>
      <w:pPr>
        <w:spacing w:before="0" w:after="0" w:line="408" w:lineRule="exact"/>
        <w:ind w:left="0" w:right="0" w:firstLine="576"/>
        <w:jc w:val="left"/>
      </w:pPr>
      <w:r>
        <w:rPr/>
        <w:t xml:space="preserve">(f) Establishing the authority of the department to enforce the program requirements, as provided in RCW 70A.65.200;</w:t>
      </w:r>
    </w:p>
    <w:p>
      <w:pPr>
        <w:spacing w:before="0" w:after="0" w:line="408" w:lineRule="exact"/>
        <w:ind w:left="0" w:right="0" w:firstLine="576"/>
        <w:jc w:val="left"/>
      </w:pPr>
      <w:r>
        <w:rPr/>
        <w:t xml:space="preserve">(g) Creating a climate investment account for the deposit of receipts from the distribution of emission allowances, as provided in RCW 70A.65.250;</w:t>
      </w:r>
    </w:p>
    <w:p>
      <w:pPr>
        <w:spacing w:before="0" w:after="0" w:line="408" w:lineRule="exact"/>
        <w:ind w:left="0" w:right="0" w:firstLine="576"/>
        <w:jc w:val="left"/>
      </w:pPr>
      <w:r>
        <w:rPr/>
        <w:t xml:space="preserve">(h) Providing for the transfer of allowances and recognition of compliance instruments, including those issued by jurisdictions with which Washington has linkage agreements;</w:t>
      </w:r>
    </w:p>
    <w:p>
      <w:pPr>
        <w:spacing w:before="0" w:after="0" w:line="408" w:lineRule="exact"/>
        <w:ind w:left="0" w:right="0" w:firstLine="576"/>
        <w:jc w:val="left"/>
      </w:pPr>
      <w:r>
        <w:rPr/>
        <w:t xml:space="preserve">(i) Providing monitoring and oversight of the sale and transfer of allowances by the department;</w:t>
      </w:r>
    </w:p>
    <w:p>
      <w:pPr>
        <w:spacing w:before="0" w:after="0" w:line="408" w:lineRule="exact"/>
        <w:ind w:left="0" w:right="0" w:firstLine="576"/>
        <w:jc w:val="left"/>
      </w:pPr>
      <w:r>
        <w:rPr/>
        <w:t xml:space="preserve">(j) Creating a price ceiling and associated mechanisms as provided in RCW 70A.65.160; and</w:t>
      </w:r>
    </w:p>
    <w:p>
      <w:pPr>
        <w:spacing w:before="0" w:after="0" w:line="408" w:lineRule="exact"/>
        <w:ind w:left="0" w:right="0" w:firstLine="576"/>
        <w:jc w:val="left"/>
      </w:pPr>
      <w:r>
        <w:rPr/>
        <w:t xml:space="preserve">(k) Providing for the allocation of allowances to emissions-intensive, trade-exposed industries pursuant to RCW 70A.65.110.</w:t>
      </w:r>
    </w:p>
    <w:p>
      <w:pPr>
        <w:spacing w:before="0" w:after="0" w:line="408" w:lineRule="exact"/>
        <w:ind w:left="0" w:right="0" w:firstLine="576"/>
        <w:jc w:val="left"/>
      </w:pPr>
      <w:r>
        <w:rPr/>
        <w:t xml:space="preserve">(3) The department shall consider opportunities to implement the program in a manner that allows linking the state's program with those of other jurisdictions. The department must evaluate whether such linkage will provide for a more cost-effective means for covered entities to meet their compliance obligations in Washington while recognizing the special characteristics of the state's economy, communities, and industries. The department is authorized to enter into a linkage agreement with another jurisdiction after conducting an environmental justice assessment and after formal notice and opportunity for a public hearing, and when consistent with the requirements of RCW 70A.65.210. </w:t>
      </w:r>
      <w:r>
        <w:rPr>
          <w:u w:val="single"/>
        </w:rPr>
        <w:t xml:space="preserve">The department is authorized to withdraw from a linkage agreement and every linkage agreement must provide that the department reserves the right to withdraw from the agreement.</w:t>
      </w:r>
    </w:p>
    <w:p>
      <w:pPr>
        <w:spacing w:before="0" w:after="0" w:line="408" w:lineRule="exact"/>
        <w:ind w:left="0" w:right="0" w:firstLine="576"/>
        <w:jc w:val="left"/>
      </w:pPr>
      <w:r>
        <w:rPr/>
        <w:t xml:space="preserve">(4) During the 2022 regular legislative session, the department must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(5) By December 1, 2027, and </w:t>
      </w:r>
      <w:r>
        <w:t>((</w:t>
      </w:r>
      <w:r>
        <w:rPr>
          <w:strike/>
        </w:rPr>
        <w:t xml:space="preserve">at least every four years thereafter</w:t>
      </w:r>
      <w:r>
        <w:t>))</w:t>
      </w:r>
      <w:r>
        <w:rPr/>
        <w:t xml:space="preserve"> </w:t>
      </w:r>
      <w:r>
        <w:rPr>
          <w:u w:val="single"/>
        </w:rPr>
        <w:t xml:space="preserve">by December 1st of each year that is one year after the end of a compliance period,</w:t>
      </w:r>
      <w:r>
        <w:rPr/>
        <w:t xml:space="preserve"> and in compliance with RCW 43.01.036, the department must submit a report to the legislature that includes a comprehensive review of the implementation of the program to date, including but not limited to outcomes relative to the state's emissions reduction limits, overburdened communities, covered entities, and emissions-intensive, trade-exposed businesses. The department must transmit the report to the environmental justice council at the same time it is submitted to the legislature.</w:t>
      </w:r>
    </w:p>
    <w:p>
      <w:pPr>
        <w:spacing w:before="0" w:after="0" w:line="408" w:lineRule="exact"/>
        <w:ind w:left="0" w:right="0" w:firstLine="576"/>
        <w:jc w:val="left"/>
      </w:pPr>
      <w:r>
        <w:rPr/>
        <w:t xml:space="preserve">(6) The department must bring forth agency request legislation if the department finds that any provision of this chapter prevents linking Washington's cap and invest program with that of any 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070</w:t>
      </w:r>
      <w:r>
        <w:rPr/>
        <w:t xml:space="preserve"> and 2022 c 181 s 1 are each amended to read as follows:</w:t>
      </w:r>
    </w:p>
    <w:p>
      <w:pPr>
        <w:spacing w:before="0" w:after="0" w:line="408" w:lineRule="exact"/>
        <w:ind w:left="0" w:right="0" w:firstLine="576"/>
        <w:jc w:val="left"/>
      </w:pPr>
      <w:r>
        <w:rPr/>
        <w:t xml:space="preserve">(1)(a)</w:t>
      </w:r>
      <w:r>
        <w:rPr>
          <w:u w:val="single"/>
        </w:rPr>
        <w:t xml:space="preserve">(i)</w:t>
      </w:r>
      <w:r>
        <w:rPr/>
        <w:t xml:space="preserve">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w:t>
      </w:r>
    </w:p>
    <w:p>
      <w:pPr>
        <w:spacing w:before="0" w:after="0" w:line="408" w:lineRule="exact"/>
        <w:ind w:left="0" w:right="0" w:firstLine="576"/>
        <w:jc w:val="left"/>
      </w:pPr>
      <w:r>
        <w:rPr>
          <w:u w:val="single"/>
        </w:rPr>
        <w:t xml:space="preserve">(ii) If the department enters into a linkage agreement, and the linked jurisdictions do not amend their rules to synchronize with Washington's compliance periods, the department must amend its rules to synchronize Washington's compliance periods with those of the linked jurisdiction or jurisdictions. The department may not by rule amend the length of the first compliance period to end on a date other than December 31, 2026.</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2015 through 2019.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w:t>
      </w:r>
      <w:r>
        <w:t>((</w:t>
      </w:r>
      <w:r>
        <w:rPr>
          <w:strike/>
        </w:rPr>
        <w:t xml:space="preserve">, calendar years 2027 through 2030,</w:t>
      </w:r>
      <w:r>
        <w:t>))</w:t>
      </w:r>
      <w:r>
        <w:rPr/>
        <w:t xml:space="preserve"> that will be distributed </w:t>
      </w:r>
      <w:r>
        <w:t>((</w:t>
      </w:r>
      <w:r>
        <w:rPr>
          <w:strike/>
        </w:rPr>
        <w:t xml:space="preserve">from January 1, 2027, through December 31, 2030</w:t>
      </w:r>
      <w:r>
        <w:t>))</w:t>
      </w:r>
      <w:r>
        <w:rPr/>
        <w:t xml:space="preserve"> </w:t>
      </w:r>
      <w:r>
        <w:rPr>
          <w:u w:val="single"/>
        </w:rPr>
        <w:t xml:space="preserve">during the second compliance period</w:t>
      </w:r>
      <w:r>
        <w:rPr/>
        <w:t xml:space="preserve">.</w:t>
      </w:r>
    </w:p>
    <w:p>
      <w:pPr>
        <w:spacing w:before="0" w:after="0" w:line="408" w:lineRule="exact"/>
        <w:ind w:left="0" w:right="0" w:firstLine="576"/>
        <w:jc w:val="left"/>
      </w:pPr>
      <w:r>
        <w:rPr/>
        <w:t xml:space="preserve">(c) By October 1, 2028, the department shall adopt by rule the annual allowance budgets for </w:t>
      </w:r>
      <w:r>
        <w:t>((</w:t>
      </w:r>
      <w:r>
        <w:rPr>
          <w:strike/>
        </w:rPr>
        <w:t xml:space="preserve">calendar years 2031</w:t>
      </w:r>
      <w:r>
        <w:t>))</w:t>
      </w:r>
      <w:r>
        <w:rPr/>
        <w:t xml:space="preserve"> </w:t>
      </w:r>
      <w:r>
        <w:rPr>
          <w:u w:val="single"/>
        </w:rPr>
        <w:t xml:space="preserve">the end of the second compliance period</w:t>
      </w:r>
      <w:r>
        <w:rPr/>
        <w:t xml:space="preserve"> through 2040.</w:t>
      </w:r>
    </w:p>
    <w:p>
      <w:pPr>
        <w:spacing w:before="0" w:after="0" w:line="408" w:lineRule="exact"/>
        <w:ind w:left="0" w:right="0" w:firstLine="576"/>
        <w:jc w:val="left"/>
      </w:pPr>
      <w:r>
        <w:rPr/>
        <w:t xml:space="preserve">(2) The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RCW 70A.65.170,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RCW 70A.65.110 through 70A.65.130 or through auctions under RCW 70A.65.100, does not expire and may be held or banked consistent with RCW 70A.65.100(6) and 70A.65.150(1).</w:t>
      </w:r>
    </w:p>
    <w:p>
      <w:pPr>
        <w:spacing w:before="0" w:after="0" w:line="408" w:lineRule="exact"/>
        <w:ind w:left="0" w:right="0" w:firstLine="576"/>
        <w:jc w:val="left"/>
      </w:pPr>
      <w:r>
        <w:rPr/>
        <w:t xml:space="preserve">(3) The department must complete evaluations by December 31, 2027, and </w:t>
      </w:r>
      <w:r>
        <w:t>((</w:t>
      </w:r>
      <w:r>
        <w:rPr>
          <w:strike/>
        </w:rPr>
        <w:t xml:space="preserve">by</w:t>
      </w:r>
      <w:r>
        <w:t>))</w:t>
      </w:r>
      <w:r>
        <w:rPr/>
        <w:t xml:space="preserve"> December </w:t>
      </w:r>
      <w:r>
        <w:t>((</w:t>
      </w:r>
      <w:r>
        <w:rPr>
          <w:strike/>
        </w:rPr>
        <w:t xml:space="preserve">31, 2035</w:t>
      </w:r>
      <w:r>
        <w:t>))</w:t>
      </w:r>
      <w:r>
        <w:rPr/>
        <w:t xml:space="preserve"> </w:t>
      </w:r>
      <w:r>
        <w:rPr>
          <w:u w:val="single"/>
        </w:rPr>
        <w:t xml:space="preserve">31st of the year following the conclusion of the third compliance period</w:t>
      </w:r>
      <w:r>
        <w:rPr/>
        <w:t xml:space="preserve">,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w:t>
      </w:r>
      <w:r>
        <w:t>((</w:t>
      </w:r>
      <w:r>
        <w:rPr>
          <w:strike/>
        </w:rPr>
        <w:t xml:space="preserve">31, 2040, and by December 31, 2045</w:t>
      </w:r>
      <w:r>
        <w:t>))</w:t>
      </w:r>
      <w:r>
        <w:rPr/>
        <w:t xml:space="preserve"> </w:t>
      </w:r>
      <w:r>
        <w:rPr>
          <w:u w:val="single"/>
        </w:rPr>
        <w:t xml:space="preserve">31st of the year following the conclusion of the fifth and sixth compliance periods</w:t>
      </w:r>
      <w:r>
        <w:rPr/>
        <w:t xml:space="preserve">,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proportionate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0" w:after="0" w:line="408" w:lineRule="exact"/>
        <w:ind w:left="0" w:right="0" w:firstLine="576"/>
        <w:jc w:val="left"/>
      </w:pPr>
      <w:r>
        <w:rPr/>
        <w:t xml:space="preserve">(5) The legislature intends to promote a growing and sustainable economy and to avoid leakage of emissions from manufacturing to other jurisdictions. Therefore, the legislature finds that implementation of this section is contingent upon the enactment of RCW 70A.65.110.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2022 c 179 s 14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w:t>
      </w:r>
      <w:r>
        <w:rPr>
          <w:u w:val="single"/>
        </w:rPr>
        <w:t xml:space="preserve">(i)</w:t>
      </w:r>
      <w:r>
        <w:rPr/>
        <w:t xml:space="preserve"> Where the person is a first jurisdictional deliverer importing electricity into the state and</w:t>
      </w:r>
      <w:r>
        <w:rPr>
          <w:u w:val="single"/>
        </w:rPr>
        <w:t xml:space="preserve">:</w:t>
      </w:r>
    </w:p>
    <w:p>
      <w:pPr>
        <w:spacing w:before="0" w:after="0" w:line="408" w:lineRule="exact"/>
        <w:ind w:left="0" w:right="0" w:firstLine="576"/>
        <w:jc w:val="left"/>
      </w:pPr>
      <w:r>
        <w:rPr>
          <w:u w:val="single"/>
        </w:rPr>
        <w:t xml:space="preserve">(A) For specified sources,</w:t>
      </w:r>
      <w:r>
        <w:rPr/>
        <w:t xml:space="preserve"> the cumulative annual total of emissions associated with the imported electricity</w:t>
      </w:r>
      <w:r>
        <w:t>((</w:t>
      </w:r>
      <w:r>
        <w:rPr>
          <w:strike/>
        </w:rPr>
        <w:t xml:space="preserve">, whether from specified or unspecified sources,</w:t>
      </w:r>
      <w:r>
        <w:t>))</w:t>
      </w:r>
      <w:r>
        <w:rPr/>
        <w:t xml:space="preserve"> exceeds 25,000 metric tons of carbon dioxide equivalent</w:t>
      </w:r>
      <w:r>
        <w:rPr>
          <w:u w:val="single"/>
        </w:rPr>
        <w:t xml:space="preserve">;</w:t>
      </w:r>
    </w:p>
    <w:p>
      <w:pPr>
        <w:spacing w:before="0" w:after="0" w:line="408" w:lineRule="exact"/>
        <w:ind w:left="0" w:right="0" w:firstLine="576"/>
        <w:jc w:val="left"/>
      </w:pPr>
      <w:r>
        <w:rPr>
          <w:u w:val="single"/>
        </w:rPr>
        <w:t xml:space="preserve">(B) For unspecified sources, the cumulative annual total of emissions associated with the imported electricity exceeds 0 metric tons of carbon dioxide equivalent</w:t>
      </w:r>
      <w:r>
        <w:rPr>
          <w:u w:val="single"/>
        </w:rPr>
        <w:t xml:space="preserve">; or</w:t>
      </w:r>
    </w:p>
    <w:p>
      <w:pPr>
        <w:spacing w:before="0" w:after="0" w:line="408" w:lineRule="exact"/>
        <w:ind w:left="0" w:right="0" w:firstLine="576"/>
        <w:jc w:val="left"/>
      </w:pPr>
      <w:r>
        <w:rPr>
          <w:u w:val="single"/>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r>
        <w:rPr/>
        <w:t xml:space="preserve">.</w:t>
      </w:r>
    </w:p>
    <w:p>
      <w:pPr>
        <w:spacing w:before="0" w:after="0" w:line="408" w:lineRule="exact"/>
        <w:ind w:left="0" w:right="0" w:firstLine="576"/>
        <w:jc w:val="left"/>
      </w:pPr>
      <w:r>
        <w:rPr>
          <w:u w:val="single"/>
        </w:rPr>
        <w:t xml:space="preserve">(ii)</w:t>
      </w:r>
      <w:r>
        <w:rPr/>
        <w:t xml:space="preserve">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w:t>
      </w:r>
      <w:r>
        <w:t>((</w:t>
      </w:r>
      <w:r>
        <w:rPr>
          <w:strike/>
        </w:rPr>
        <w:t xml:space="preserve">beginning January 1, 2031</w:t>
      </w:r>
      <w:r>
        <w:t>))</w:t>
      </w:r>
      <w:r>
        <w:rPr/>
        <w:t xml:space="preserve"> </w:t>
      </w:r>
      <w:r>
        <w:rPr>
          <w:u w:val="single"/>
        </w:rPr>
        <w:t xml:space="preserve">as of the beginning of the third compliance period</w:t>
      </w:r>
      <w:r>
        <w:rPr/>
        <w:t xml:space="preserve">, and all subsequent compliance periods if the person reported emissions under RCW 70A.15.2200 or provided emissions data as required by this chapter for </w:t>
      </w:r>
      <w:r>
        <w:t>((</w:t>
      </w:r>
      <w:r>
        <w:rPr>
          <w:strike/>
        </w:rPr>
        <w:t xml:space="preserve">any calendar year from</w:t>
      </w:r>
      <w:r>
        <w:t>))</w:t>
      </w:r>
      <w:r>
        <w:rPr/>
        <w:t xml:space="preserve"> 2027 </w:t>
      </w:r>
      <w:r>
        <w:t>((</w:t>
      </w:r>
      <w:r>
        <w:rPr>
          <w:strike/>
        </w:rPr>
        <w:t xml:space="preserve">through 2029</w:t>
      </w:r>
      <w:r>
        <w:t>))</w:t>
      </w:r>
      <w:r>
        <w:rPr/>
        <w:t xml:space="preserve"> </w:t>
      </w:r>
      <w:r>
        <w:rPr>
          <w:u w:val="single"/>
        </w:rPr>
        <w:t xml:space="preserve">or 2028</w:t>
      </w:r>
      <w:r>
        <w:rPr/>
        <w:t xml:space="preserve">,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w:t>
      </w:r>
    </w:p>
    <w:p>
      <w:pPr>
        <w:spacing w:before="0" w:after="0" w:line="408" w:lineRule="exact"/>
        <w:ind w:left="0" w:right="0" w:firstLine="576"/>
        <w:jc w:val="left"/>
      </w:pPr>
      <w:r>
        <w:rPr/>
        <w:t xml:space="preserve">(f) Emissions from facilities with North American industry classification system code 92811 (national security); and</w:t>
      </w:r>
    </w:p>
    <w:p>
      <w:pPr>
        <w:spacing w:before="0" w:after="0" w:line="408" w:lineRule="exact"/>
        <w:ind w:left="0" w:right="0" w:firstLine="576"/>
        <w:jc w:val="left"/>
      </w:pPr>
      <w:r>
        <w:rPr/>
        <w:t xml:space="preserve">(g) Emissions from municipal solid waste landfills that are subject to, and in compliance with, chapter 70A.540 RCW.</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w:t>
      </w:r>
      <w:r>
        <w:rPr>
          <w:u w:val="single"/>
        </w:rPr>
        <w:t xml:space="preserve">this</w:t>
      </w:r>
      <w:r>
        <w:rPr/>
        <w:t xml:space="preserve"> chapter </w:t>
      </w:r>
      <w:r>
        <w:t>((</w:t>
      </w:r>
      <w:r>
        <w:rPr>
          <w:strike/>
        </w:rPr>
        <w:t xml:space="preserve">316, Laws of 2021</w:t>
      </w:r>
      <w:r>
        <w:t>))</w:t>
      </w:r>
      <w:r>
        <w:rPr/>
        <w:t xml:space="preserve">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2023 c 475 s 937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w:t>
      </w:r>
      <w:r>
        <w:t>((</w:t>
      </w:r>
      <w:r>
        <w:rPr>
          <w:strike/>
        </w:rPr>
        <w:t xml:space="preserve">10</w:t>
      </w:r>
      <w:r>
        <w:t>))</w:t>
      </w:r>
      <w:r>
        <w:rPr/>
        <w:t xml:space="preserve"> </w:t>
      </w:r>
      <w:r>
        <w:rPr>
          <w:u w:val="single"/>
        </w:rPr>
        <w:t xml:space="preserve">25</w:t>
      </w:r>
      <w:r>
        <w:rPr/>
        <w:t xml:space="preserve">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(c) Until Washington links with a jurisdiction that does not have this requirement, a general market participant</w:t>
      </w:r>
      <w:r>
        <w:rPr/>
        <w:t xml:space="preserve"> may not in aggregate own more than 10 percent of total allowances to be issued in a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No registered entity may buy more than the entity's bid guarantee;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and (ii)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except that during fiscal year 2025, the deposit as provided in this subsection (7)(c)(i) may be prorated equally across each of the auctions occurring in fiscal year 2025; and (ii) the remaining auction proceeds to the climate investment account created in RCW 70A.65.250 and the air quality and health disparities improvement account created in RCW 70A.65.280, which may be prorated equally across each of the auctions occurring in fiscal year 2025.</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110</w:t>
      </w:r>
      <w:r>
        <w:rPr/>
        <w:t xml:space="preserve"> and 2021 c 316 s 13 are each amended to read as follows:</w:t>
      </w:r>
    </w:p>
    <w:p>
      <w:pPr>
        <w:spacing w:before="0" w:after="0" w:line="408" w:lineRule="exact"/>
        <w:ind w:left="0" w:right="0" w:firstLine="576"/>
        <w:jc w:val="left"/>
      </w:pPr>
      <w:r>
        <w:rPr/>
        <w:t xml:space="preserve">(1) Facilities owned or operated by a covered entity must receive an allocation of allowances for the covered emissions at those facilities under this subsection at no cost if the operations of the facility are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shingle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 facility covered by subsection (1)(a) through (m) of this section is considered an emissions-intensive, trade-exposed facility and is eligible for allocation of no cost allowances as described in this section. In addition, any covered party that is a manufacturing business that can demonstrate to the department that it meets the objective criteria adopted by rule is also eligible for treatment as emissions-intensive, trade-exposed and is eligible for allocation of no cost allowances as described in this section. In developing the objective criteria under this subsection, the department must consider the locations of facilities potentially identified as emissions-intensive, trade-exposed manufacturing businesses relative to overburdened communities.</w:t>
      </w:r>
    </w:p>
    <w:p>
      <w:pPr>
        <w:spacing w:before="0" w:after="0" w:line="408" w:lineRule="exact"/>
        <w:ind w:left="0" w:right="0" w:firstLine="576"/>
        <w:jc w:val="left"/>
      </w:pPr>
      <w:r>
        <w:rPr/>
        <w:t xml:space="preserve">(3)(a) For the </w:t>
      </w:r>
      <w:r>
        <w:t>((</w:t>
      </w:r>
      <w:r>
        <w:rPr>
          <w:strike/>
        </w:rPr>
        <w:t xml:space="preserve">first compliance period beginning in January 1, 2023</w:t>
      </w:r>
      <w:r>
        <w:t>))</w:t>
      </w:r>
      <w:r>
        <w:rPr/>
        <w:t xml:space="preserve"> </w:t>
      </w:r>
      <w:r>
        <w:rPr>
          <w:u w:val="single"/>
        </w:rPr>
        <w:t xml:space="preserve">years 2023 through 2026</w:t>
      </w:r>
      <w:r>
        <w:rPr/>
        <w:t xml:space="preserve">, the annual allocation of no cost allowances for direct distribution to a facility identified as emissions-intensive and trade-exposed must be equal to the facility's baseline carbon intensity established using data from 2015 through 2019, or other data as allowed under this section, multiplied by the facility's actual production for each calendar year during the compliance period. For facilities using the mass-based approach, the allocation of no cost allowances shall be equal to the facility's mass-based baseline using data from 2015 through 2019, or other data as allowed under this section.</w:t>
      </w:r>
    </w:p>
    <w:p>
      <w:pPr>
        <w:spacing w:before="0" w:after="0" w:line="408" w:lineRule="exact"/>
        <w:ind w:left="0" w:right="0" w:firstLine="576"/>
        <w:jc w:val="left"/>
      </w:pPr>
      <w:r>
        <w:rPr/>
        <w:t xml:space="preserve">(b) For the </w:t>
      </w:r>
      <w:r>
        <w:t>((</w:t>
      </w:r>
      <w:r>
        <w:rPr>
          <w:strike/>
        </w:rPr>
        <w:t xml:space="preserve">second compliance period, beginning in January, 2027,</w:t>
      </w:r>
      <w:r>
        <w:t>))</w:t>
      </w:r>
      <w:r>
        <w:rPr/>
        <w:t xml:space="preserve"> </w:t>
      </w:r>
      <w:r>
        <w:rPr>
          <w:u w:val="single"/>
        </w:rPr>
        <w:t xml:space="preserve">four years beginning January 2027</w:t>
      </w:r>
      <w:r>
        <w:rPr/>
        <w:t xml:space="preserve"> and in each subsequent </w:t>
      </w:r>
      <w:r>
        <w:t>((</w:t>
      </w:r>
      <w:r>
        <w:rPr>
          <w:strike/>
        </w:rPr>
        <w:t xml:space="preserve">compliance</w:t>
      </w:r>
      <w:r>
        <w:t>))</w:t>
      </w:r>
      <w:r>
        <w:rPr/>
        <w:t xml:space="preserve"> </w:t>
      </w:r>
      <w:r>
        <w:rPr>
          <w:u w:val="single"/>
        </w:rPr>
        <w:t xml:space="preserve">four-year</w:t>
      </w:r>
      <w:r>
        <w:rPr/>
        <w:t xml:space="preserve"> period, the annual allocation of no cost allowances established in (a) of this subsection shall be adjusted according to the benchmark reduction schedules established in (b)(ii) and (iii) and (e) of this subsection multiplied by the facility's actual production during the period. The department shall adjust the no cost allocation of allowances and credits to an emissions-intensive and trade-exposed facility to avoid duplication with any no cost allowances transferred pursuant to RCW 70A.65.120 and 70A.65.130,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mass-based baseline must be based upon data from 2015 through 2019, unless the emissions-intensive, trade-exposed facility can demonstrate that there have been abnormal periods of operation that materially impacted the facility and the baseline period should be expanded to include years prior to 2015. For </w:t>
      </w:r>
      <w:r>
        <w:t>((</w:t>
      </w:r>
      <w:r>
        <w:rPr>
          <w:strike/>
        </w:rPr>
        <w:t xml:space="preserve">each year during the first four-year compliance period that begins January 1, 2023</w:t>
      </w:r>
      <w:r>
        <w:t>))</w:t>
      </w:r>
      <w:r>
        <w:rPr/>
        <w:t xml:space="preserve"> </w:t>
      </w:r>
      <w:r>
        <w:rPr>
          <w:u w:val="single"/>
        </w:rPr>
        <w:t xml:space="preserve">the years 2023 through 2026</w:t>
      </w:r>
      <w:r>
        <w:rPr/>
        <w:t xml:space="preserve">, these facilities must be awarded no cost allowances equal to 100 percent of the facility's mass-based baseline. For each year during the </w:t>
      </w:r>
      <w:r>
        <w:t>((</w:t>
      </w:r>
      <w:r>
        <w:rPr>
          <w:strike/>
        </w:rPr>
        <w:t xml:space="preserve">second four-year compliance period that begins January 1, 2027</w:t>
      </w:r>
      <w:r>
        <w:t>))</w:t>
      </w:r>
      <w:r>
        <w:rPr/>
        <w:t xml:space="preserve"> </w:t>
      </w:r>
      <w:r>
        <w:rPr>
          <w:u w:val="single"/>
        </w:rPr>
        <w:t xml:space="preserve">years 2027 through 2030</w:t>
      </w:r>
      <w:r>
        <w:rPr/>
        <w:t xml:space="preserve">, these facilities must be awarded no cost allowances equal to 97 percent of the facility's mass-based baseline. For each year during the </w:t>
      </w:r>
      <w:r>
        <w:t>((</w:t>
      </w:r>
      <w:r>
        <w:rPr>
          <w:strike/>
        </w:rPr>
        <w:t xml:space="preserve">third compliance period that begins January 1, 2031</w:t>
      </w:r>
      <w:r>
        <w:t>))</w:t>
      </w:r>
      <w:r>
        <w:rPr/>
        <w:t xml:space="preserve"> </w:t>
      </w:r>
      <w:r>
        <w:rPr>
          <w:u w:val="single"/>
        </w:rPr>
        <w:t xml:space="preserve">years 2031 through 2034</w:t>
      </w:r>
      <w:r>
        <w:rPr/>
        <w:t xml:space="preserve">, these facilities must be awarded no cost allowances equal to 94 percent of the facility's mass-based baseline. Except as provided in (b)(iii) of this subsection, if a facility elects to use a mass-based baseline, it may not later convert to a carbon intensity benchmark during the </w:t>
      </w:r>
      <w:r>
        <w:t>((</w:t>
      </w:r>
      <w:r>
        <w:rPr>
          <w:strike/>
        </w:rPr>
        <w:t xml:space="preserve">first three compliance periods</w:t>
      </w:r>
      <w:r>
        <w:t>))</w:t>
      </w:r>
      <w:r>
        <w:rPr/>
        <w:t xml:space="preserve"> </w:t>
      </w:r>
      <w:r>
        <w:rPr>
          <w:u w:val="single"/>
        </w:rPr>
        <w:t xml:space="preserve">years 2023 through 2034</w:t>
      </w:r>
      <w:r>
        <w:rPr/>
        <w:t xml:space="preserve">.</w:t>
      </w:r>
    </w:p>
    <w:p>
      <w:pPr>
        <w:spacing w:before="0" w:after="0" w:line="408" w:lineRule="exact"/>
        <w:ind w:left="0" w:right="0" w:firstLine="576"/>
        <w:jc w:val="left"/>
      </w:pPr>
      <w:r>
        <w:rPr/>
        <w:t xml:space="preserve">(iii) A facility with a North American industry classification system code beginning with 3364 that is utilizing a mass-based baseline in (b)(ii) of this subsection must receive an additional no cost allowance allocation under this section in order to accommodate an increase in production that increases its emissions above the baseline on a basis equivalent in principle to those awarded to entities utilizing a carbon intensity benchmark pursuant to this subsection (3)(b). The department shall establish methods to award, for any annual period, additional no cost allowance allocations under this section and, if appropriate based on projected production, to achieve a similar ongoing result through the adjustment of the facility's mass-based baseline. An eligible facility under this subsection that has elected to use a mass-based baseline may not convert to a carbon intensity benchmark until the next compliance period.</w:t>
      </w:r>
    </w:p>
    <w:p>
      <w:pPr>
        <w:spacing w:before="0" w:after="0" w:line="408" w:lineRule="exact"/>
        <w:ind w:left="0" w:right="0" w:firstLine="576"/>
        <w:jc w:val="left"/>
      </w:pPr>
      <w:r>
        <w:rPr/>
        <w:t xml:space="preserve">(c)(i) By September 15, 2022, each emissions-intensive, trade-exposed facility shall submit its carbon intensity baseline for the first compliance period to the department. The carbon intensity baseline for the first compliance period must use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 By November 15, 2022, the department shall review and approve each emissions-intensive, trade-exposed facility's baseline carbon intensity for the </w:t>
      </w:r>
      <w:r>
        <w:t>((</w:t>
      </w:r>
      <w:r>
        <w:rPr>
          <w:strike/>
        </w:rPr>
        <w:t xml:space="preserve">first compliance period</w:t>
      </w:r>
      <w:r>
        <w:t>))</w:t>
      </w:r>
      <w:r>
        <w:rPr/>
        <w:t xml:space="preserve"> </w:t>
      </w:r>
      <w:r>
        <w:rPr>
          <w:u w:val="single"/>
        </w:rPr>
        <w:t xml:space="preserve">years 2023 through 2026</w:t>
      </w:r>
      <w:r>
        <w:rPr/>
        <w:t xml:space="preserve">.</w:t>
      </w:r>
    </w:p>
    <w:p>
      <w:pPr>
        <w:spacing w:before="0" w:after="0" w:line="408" w:lineRule="exact"/>
        <w:ind w:left="0" w:right="0" w:firstLine="576"/>
        <w:jc w:val="left"/>
      </w:pPr>
      <w:r>
        <w:rPr/>
        <w:t xml:space="preserve">(d) During the </w:t>
      </w:r>
      <w:r>
        <w:t>((</w:t>
      </w:r>
      <w:r>
        <w:rPr>
          <w:strike/>
        </w:rPr>
        <w:t xml:space="preserve">first four-year compliance period that begins January 1, 2023</w:t>
      </w:r>
      <w:r>
        <w:t>))</w:t>
      </w:r>
      <w:r>
        <w:rPr/>
        <w:t xml:space="preserve"> </w:t>
      </w:r>
      <w:r>
        <w:rPr>
          <w:u w:val="single"/>
        </w:rPr>
        <w:t xml:space="preserve">years 2023 through 2026</w:t>
      </w:r>
      <w:r>
        <w:rPr/>
        <w:t xml:space="preserve">, each emissions-intensive, trade-exposed facility must record its facility-specific carbon intensity baseline based on its actual production.</w:t>
      </w:r>
    </w:p>
    <w:p>
      <w:pPr>
        <w:spacing w:before="0" w:after="0" w:line="408" w:lineRule="exact"/>
        <w:ind w:left="0" w:right="0" w:firstLine="576"/>
        <w:jc w:val="left"/>
      </w:pPr>
      <w:r>
        <w:rPr/>
        <w:t xml:space="preserve">(e)(i) For the </w:t>
      </w:r>
      <w:r>
        <w:t>((</w:t>
      </w:r>
      <w:r>
        <w:rPr>
          <w:strike/>
        </w:rPr>
        <w:t xml:space="preserve">second four-year compliance period that begins January 1, 2027</w:t>
      </w:r>
      <w:r>
        <w:t>))</w:t>
      </w:r>
      <w:r>
        <w:rPr/>
        <w:t xml:space="preserve"> </w:t>
      </w:r>
      <w:r>
        <w:rPr>
          <w:u w:val="single"/>
        </w:rPr>
        <w:t xml:space="preserve">years 2027 through 2030</w:t>
      </w:r>
      <w:r>
        <w:rPr/>
        <w:t xml:space="preserve">, the second period benchmark for each emissions-intensive, trade-exposed facility is three percent below the first period baseline specified in (a), (b), and (c) of this subsection.</w:t>
      </w:r>
    </w:p>
    <w:p>
      <w:pPr>
        <w:spacing w:before="0" w:after="0" w:line="408" w:lineRule="exact"/>
        <w:ind w:left="0" w:right="0" w:firstLine="576"/>
        <w:jc w:val="left"/>
      </w:pPr>
      <w:r>
        <w:rPr/>
        <w:t xml:space="preserve">(ii) For the </w:t>
      </w:r>
      <w:r>
        <w:t>((</w:t>
      </w:r>
      <w:r>
        <w:rPr>
          <w:strike/>
        </w:rPr>
        <w:t xml:space="preserve">third four-year compliance period that begins January 1, 2031</w:t>
      </w:r>
      <w:r>
        <w:t>))</w:t>
      </w:r>
      <w:r>
        <w:rPr/>
        <w:t xml:space="preserve"> </w:t>
      </w:r>
      <w:r>
        <w:rPr>
          <w:u w:val="single"/>
        </w:rPr>
        <w:t xml:space="preserve">years 2031 through 2034</w:t>
      </w:r>
      <w:r>
        <w:rPr/>
        <w:t xml:space="preserve">, the third period benchmark for each emissions-intensive, trade-exposed facility is three percent lower than the </w:t>
      </w:r>
      <w:r>
        <w:t>((</w:t>
      </w:r>
      <w:r>
        <w:rPr>
          <w:strike/>
        </w:rPr>
        <w:t xml:space="preserve">second period benchmark</w:t>
      </w:r>
      <w:r>
        <w:t>))</w:t>
      </w:r>
      <w:r>
        <w:rPr/>
        <w:t xml:space="preserve"> </w:t>
      </w:r>
      <w:r>
        <w:rPr>
          <w:u w:val="single"/>
        </w:rPr>
        <w:t xml:space="preserve">years 2027 through 2030</w:t>
      </w:r>
      <w:r>
        <w:rPr/>
        <w:t xml:space="preserve">.</w:t>
      </w:r>
    </w:p>
    <w:p>
      <w:pPr>
        <w:spacing w:before="0" w:after="0" w:line="408" w:lineRule="exact"/>
        <w:ind w:left="0" w:right="0" w:firstLine="576"/>
        <w:jc w:val="left"/>
      </w:pPr>
      <w:r>
        <w:rPr/>
        <w:t xml:space="preserve">(f) Prior to the beginning of </w:t>
      </w:r>
      <w:r>
        <w:t>((</w:t>
      </w:r>
      <w:r>
        <w:rPr>
          <w:strike/>
        </w:rPr>
        <w:t xml:space="preserve">either the second, third, or subsequent compliance</w:t>
      </w:r>
      <w:r>
        <w:t>))</w:t>
      </w:r>
      <w:r>
        <w:rPr/>
        <w:t xml:space="preserve"> </w:t>
      </w:r>
      <w:r>
        <w:rPr>
          <w:u w:val="single"/>
        </w:rPr>
        <w:t xml:space="preserve">2027, 2031, or subsequent four-year</w:t>
      </w:r>
      <w:r>
        <w:rPr/>
        <w:t xml:space="preserve"> periods, the department may make an upward adjustment in the next </w:t>
      </w:r>
      <w:r>
        <w:t>((</w:t>
      </w:r>
      <w:r>
        <w:rPr>
          <w:strike/>
        </w:rPr>
        <w:t xml:space="preserve">compliance</w:t>
      </w:r>
      <w:r>
        <w:t>))</w:t>
      </w:r>
      <w:r>
        <w:rPr/>
        <w:t xml:space="preserve"> </w:t>
      </w:r>
      <w:r>
        <w:rPr>
          <w:u w:val="single"/>
        </w:rPr>
        <w:t xml:space="preserve">four-year</w:t>
      </w:r>
      <w:r>
        <w:rPr/>
        <w:t xml:space="preserve"> period's benchmark for an emissions-intensive, trade-exposed facility based on the facility's demonstration to the department that additional reductions in carbon intensity or mass emissions are not technically or economically feasible. The department may base the upward adjustment applicable to an emissions-intensive, trade-exposed facility in the next </w:t>
      </w:r>
      <w:r>
        <w:t>((</w:t>
      </w:r>
      <w:r>
        <w:rPr>
          <w:strike/>
        </w:rPr>
        <w:t xml:space="preserve">compliance</w:t>
      </w:r>
      <w:r>
        <w:t>))</w:t>
      </w:r>
      <w:r>
        <w:rPr/>
        <w:t xml:space="preserve"> </w:t>
      </w:r>
      <w:r>
        <w:rPr>
          <w:u w:val="single"/>
        </w:rPr>
        <w:t xml:space="preserve">four-year</w:t>
      </w:r>
      <w:r>
        <w:rPr/>
        <w:t xml:space="preserv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(i) A significant change in the emissions use or emissions attributable to the manufacture of an individual good or goods in this state by an emissions-intensive, trade-exposed facility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(ii)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(iii) Abnormal operating periods when an emissions-intensive, trade-exposed facility's carbon intensity has been materially affected so that these abnormal operating periods are either excluded or otherwise considered in the establishment of the </w:t>
      </w:r>
      <w:r>
        <w:t>((</w:t>
      </w:r>
      <w:r>
        <w:rPr>
          <w:strike/>
        </w:rPr>
        <w:t xml:space="preserve">compliance period</w:t>
      </w:r>
      <w:r>
        <w:t>))</w:t>
      </w:r>
      <w:r>
        <w:rPr/>
        <w:t xml:space="preserve"> carbon intensity benchmarks.</w:t>
      </w:r>
    </w:p>
    <w:p>
      <w:pPr>
        <w:spacing w:before="0" w:after="0" w:line="408" w:lineRule="exact"/>
        <w:ind w:left="0" w:right="0" w:firstLine="576"/>
        <w:jc w:val="left"/>
      </w:pPr>
      <w:r>
        <w:rPr/>
        <w:t xml:space="preserve">(4)(a) By December 1, 2026, the department shall provide a report to the appropriate committees of the senate and house of representatives that describes alternative methods for determining the amount and a schedule of allowances to be provided to facilities owned or operated by each covered entity designated as an emissions-intensive, trade-exposed facility from January 1, 2035, through January 1, 2050. The report must include a review of global best practices in ensuring against emissions leakage and economic harm to businesses in carbon pricing programs and describe alternative methods of emissions performance benchmarking and mass-based allocation of no cost allowances. At a minimum, the department must evaluate benchmarks based on both carbon intensity and mass, as well as the use of best available technology as a method for compliance.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(b) If the legislature does not adopt a compliance obligation for emissions-intensive, trade-exposed facilities by December 1, 2027, those facilities must continue to receive allowances as provided in the </w:t>
      </w:r>
      <w:r>
        <w:t>((</w:t>
      </w:r>
      <w:r>
        <w:rPr>
          <w:strike/>
        </w:rPr>
        <w:t xml:space="preserve">third four-year compliance period that begins January 1, 2031</w:t>
      </w:r>
      <w:r>
        <w:t>))</w:t>
      </w:r>
      <w:r>
        <w:rPr/>
        <w:t xml:space="preserve"> </w:t>
      </w:r>
      <w:r>
        <w:rPr>
          <w:u w:val="single"/>
        </w:rPr>
        <w:t xml:space="preserve">years 2031 through 2034</w:t>
      </w:r>
      <w:r>
        <w:rPr/>
        <w:t xml:space="preserve">.</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acquire additional compliance instruments such that the total compliance instruments transferred to its compliance account consistent with </w:t>
      </w:r>
      <w:r>
        <w:rPr>
          <w:u w:val="single"/>
        </w:rPr>
        <w:t xml:space="preserve">this</w:t>
      </w:r>
      <w:r>
        <w:rPr/>
        <w:t xml:space="preserve"> chapter </w:t>
      </w:r>
      <w:r>
        <w:t>((</w:t>
      </w:r>
      <w:r>
        <w:rPr>
          <w:strike/>
        </w:rPr>
        <w:t xml:space="preserve">316, Laws of 2021</w:t>
      </w:r>
      <w:r>
        <w:t>))</w:t>
      </w:r>
      <w:r>
        <w:rPr/>
        <w:t xml:space="preserve"> equals emissions during the compliance period. An emissions-intensive, trade-exposed facility must be allowed to bank unused allowances, including for future sale and investment in best available technology when economically feasible.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and becomes a curtailed facility, the allowances are retained but cannot be traded, sold, or transferred and are still subject to the emission reduction requirements specified in this section. An owner or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0" w:after="0" w:line="408" w:lineRule="exact"/>
        <w:ind w:left="0" w:right="0" w:firstLine="576"/>
        <w:jc w:val="left"/>
      </w:pPr>
      <w:r>
        <w:rPr/>
        <w:t xml:space="preserve">(7) An owner or operator of more than one facility receiving no cost allowances under this section may transfer allowances among the eligible facilities.</w:t>
      </w:r>
    </w:p>
    <w:p>
      <w:pPr>
        <w:spacing w:before="0" w:after="0" w:line="408" w:lineRule="exact"/>
        <w:ind w:left="0" w:right="0" w:firstLine="576"/>
        <w:jc w:val="left"/>
      </w:pPr>
      <w:r>
        <w:rPr/>
        <w:t xml:space="preserve">(8) Rules adopted by the department under this section must include protocols for allocating allowances at no cost to an eligible facility built after July 25, 2021. The protocols must include consideration of the products and criteria pollutants being produced by the facility, as well as the local environmental and health impacts associated with the facility. For a facility that is built on tribal lands or is determined by the department to impact tribal lands and resources, the protocols must be developed in consultation with the affected tribal 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170</w:t>
      </w:r>
      <w:r>
        <w:rPr/>
        <w:t xml:space="preserve"> and 2022 c 181 s 12 are each amended to read as follows:</w:t>
      </w:r>
    </w:p>
    <w:p>
      <w:pPr>
        <w:spacing w:before="0" w:after="0" w:line="408" w:lineRule="exact"/>
        <w:ind w:left="0" w:right="0" w:firstLine="576"/>
        <w:jc w:val="left"/>
      </w:pPr>
      <w:r>
        <w:rPr/>
        <w:t xml:space="preserve">(1) The department shall adopt by rule the protocols for establishing offset projects and </w:t>
      </w:r>
      <w:r>
        <w:t>((</w:t>
      </w:r>
      <w:r>
        <w:rPr>
          <w:strike/>
        </w:rPr>
        <w:t xml:space="preserve">securing</w:t>
      </w:r>
      <w:r>
        <w:t>))</w:t>
      </w:r>
      <w:r>
        <w:rPr/>
        <w:t xml:space="preserve"> </w:t>
      </w:r>
      <w:r>
        <w:rPr>
          <w:u w:val="single"/>
        </w:rPr>
        <w:t xml:space="preserve">generating</w:t>
      </w:r>
      <w:r>
        <w:rPr/>
        <w:t xml:space="preserve"> offset credits that may be used to meet a portion of a covered or opt-in entity's compliance obligation under this chapter.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Washington has entered into a linkage agreement;</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w:t>
      </w:r>
      <w:r>
        <w:rPr>
          <w:u w:val="single"/>
        </w:rPr>
        <w:t xml:space="preserve">, regardless of whether or not the offset project is located on federally recognized tribal land</w:t>
      </w:r>
      <w:r>
        <w:rPr/>
        <w:t xml:space="preserve">.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w:t>
      </w:r>
      <w:r>
        <w:rPr>
          <w:u w:val="single"/>
        </w:rPr>
        <w:t xml:space="preserve">, regardless of whether or not the offset project is located on federally recognized tribal land</w:t>
      </w:r>
      <w:r>
        <w:rPr/>
        <w:t xml:space="preserve">.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proportionate share of statewide emissions limits established in RCW 70A.45.020 and to provide for alignment with other jurisdictions to which the state has linked.</w:t>
      </w:r>
    </w:p>
    <w:p>
      <w:pPr>
        <w:spacing w:before="0" w:after="0" w:line="408" w:lineRule="exact"/>
        <w:ind w:left="0" w:right="0" w:firstLine="576"/>
        <w:jc w:val="left"/>
      </w:pPr>
      <w:r>
        <w:rPr/>
        <w:t xml:space="preserve">(d) The limits in (a) and (b) of this subsection may be reduced for a specific covered or opt-in entity if the department determines, in consultation with the environmental justice council,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in consultation with the environmental justice council;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w:t>
      </w:r>
      <w:r>
        <w:t>((</w:t>
      </w:r>
      <w:r>
        <w:rPr>
          <w:strike/>
        </w:rPr>
        <w:t xml:space="preserve">An offset project on federally recognized tribal land does not count against</w:t>
      </w:r>
      <w:r>
        <w:t>))</w:t>
      </w:r>
      <w:r>
        <w:rPr/>
        <w:t xml:space="preserve"> </w:t>
      </w:r>
      <w:r>
        <w:rPr>
          <w:u w:val="single"/>
        </w:rPr>
        <w:t xml:space="preserve">In addition to</w:t>
      </w:r>
      <w:r>
        <w:rPr/>
        <w:t xml:space="preserve"> the offset credit limits described in (a) and (b) of this subsection</w:t>
      </w:r>
      <w:r>
        <w:t>((</w:t>
      </w:r>
      <w:r>
        <w:rPr>
          <w:strike/>
        </w:rPr>
        <w:t xml:space="preserve">.</w:t>
      </w:r>
      <w:r>
        <w:t>))</w:t>
      </w:r>
      <w:r>
        <w:rPr>
          <w:u w:val="single"/>
        </w:rPr>
        <w:t xml:space="preserve">:</w:t>
      </w:r>
    </w:p>
    <w:p>
      <w:pPr>
        <w:spacing w:before="0" w:after="0" w:line="408" w:lineRule="exact"/>
        <w:ind w:left="0" w:right="0" w:firstLine="576"/>
        <w:jc w:val="left"/>
      </w:pPr>
      <w:r>
        <w:rPr/>
        <w:t xml:space="preserve">(i) No more than </w:t>
      </w:r>
      <w:r>
        <w:rPr>
          <w:u w:val="single"/>
        </w:rPr>
        <w:t xml:space="preserve">an additional</w:t>
      </w:r>
      <w:r>
        <w:rPr/>
        <w:t xml:space="preserve"> three percent of a covered or opt-in entity's compliance obligation may be met by transferring offset credits from projects on federally recognized tribal land during the first compliance period.</w:t>
      </w:r>
    </w:p>
    <w:p>
      <w:pPr>
        <w:spacing w:before="0" w:after="0" w:line="408" w:lineRule="exact"/>
        <w:ind w:left="0" w:right="0" w:firstLine="576"/>
        <w:jc w:val="left"/>
      </w:pPr>
      <w:r>
        <w:rPr/>
        <w:t xml:space="preserve">(ii) No more than </w:t>
      </w:r>
      <w:r>
        <w:rPr>
          <w:u w:val="single"/>
        </w:rPr>
        <w:t xml:space="preserve">an additional</w:t>
      </w:r>
      <w:r>
        <w:rPr/>
        <w:t xml:space="preserve">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w:t>
      </w:r>
      <w:r>
        <w:rPr>
          <w:u w:val="single"/>
        </w:rPr>
        <w:t xml:space="preserve">Take into consideration forest practices rules where a project is located, or applicable best management practices established by federal, state, or local governments that relate to forest management;</w:t>
      </w:r>
    </w:p>
    <w:p>
      <w:pPr>
        <w:spacing w:before="0" w:after="0" w:line="408" w:lineRule="exact"/>
        <w:ind w:left="0" w:right="0" w:firstLine="576"/>
        <w:jc w:val="left"/>
      </w:pPr>
      <w:r>
        <w:rPr>
          <w:u w:val="single"/>
        </w:rPr>
        <w:t xml:space="preserve">(c)</w:t>
      </w:r>
      <w:r>
        <w:rPr/>
        <w:t xml:space="preserve">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RCW 70A.65.200;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Make use of aggregation or other mechanisms, including cost-effective inventory and monitoring provisions, to increase the development of offset and carbon removal projects by landowners across the broadest possible variety of types and sizes of lands, including lands owned by small forestland owners.</w:t>
      </w:r>
    </w:p>
    <w:p>
      <w:pPr>
        <w:spacing w:before="0" w:after="0" w:line="408" w:lineRule="exact"/>
        <w:ind w:left="0" w:right="0" w:firstLine="576"/>
        <w:jc w:val="left"/>
      </w:pPr>
      <w:r>
        <w:rPr/>
        <w:t xml:space="preserve">(5) Any offset credits used must:</w:t>
      </w:r>
    </w:p>
    <w:p>
      <w:pPr>
        <w:spacing w:before="0" w:after="0" w:line="408" w:lineRule="exact"/>
        <w:ind w:left="0" w:right="0" w:firstLine="576"/>
        <w:jc w:val="left"/>
      </w:pPr>
      <w:r>
        <w:rPr/>
        <w:t xml:space="preserve">(a) Not be in addition to or allow for an increase in the emissions limits established under RCW 70A.45.020, as reflected in the annual allowance budgets developed under RCW 70A.65.070;</w:t>
      </w:r>
    </w:p>
    <w:p>
      <w:pPr>
        <w:spacing w:before="0" w:after="0" w:line="408" w:lineRule="exact"/>
        <w:ind w:left="0" w:right="0" w:firstLine="576"/>
        <w:jc w:val="left"/>
      </w:pPr>
      <w:r>
        <w:rPr/>
        <w:t xml:space="preserve">(b) Have been issued for reporting periods wholly after July 25, 2021, or within two years prior to July 25, 2021; and</w:t>
      </w:r>
    </w:p>
    <w:p>
      <w:pPr>
        <w:spacing w:before="0" w:after="0" w:line="408" w:lineRule="exact"/>
        <w:ind w:left="0" w:right="0" w:firstLine="576"/>
        <w:jc w:val="left"/>
      </w:pPr>
      <w:r>
        <w:rPr/>
        <w:t xml:space="preserve">(c) </w:t>
      </w:r>
      <w:r>
        <w:t>((</w:t>
      </w:r>
      <w:r>
        <w:rPr>
          <w:strike/>
        </w:rPr>
        <w:t xml:space="preserve">Be consistent with offset protocols adopted by the department</w:t>
      </w:r>
      <w:r>
        <w:t>))</w:t>
      </w:r>
      <w:r>
        <w:rPr/>
        <w:t xml:space="preserve"> </w:t>
      </w:r>
      <w:r>
        <w:rPr>
          <w:u w:val="single"/>
        </w:rPr>
        <w:t xml:space="preserve">For offset credits issued by a jurisdiction with which Washington has entered into a linkage agreement, come from offset projects located in Washington or in the linked jurisdiction</w:t>
      </w:r>
      <w:r>
        <w:rPr/>
        <w:t xml:space="preserve">.</w:t>
      </w:r>
    </w:p>
    <w:p>
      <w:pPr>
        <w:spacing w:before="0" w:after="0" w:line="408" w:lineRule="exact"/>
        <w:ind w:left="0" w:right="0" w:firstLine="576"/>
        <w:jc w:val="left"/>
      </w:pPr>
      <w:r>
        <w:rPr/>
        <w:t xml:space="preserve">(6) The offset credit must be registered and tracked as a compliance instrument.</w:t>
      </w:r>
    </w:p>
    <w:p>
      <w:pPr>
        <w:spacing w:before="0" w:after="0" w:line="408" w:lineRule="exact"/>
        <w:ind w:left="0" w:right="0" w:firstLine="576"/>
        <w:jc w:val="left"/>
      </w:pPr>
      <w:r>
        <w:rPr/>
        <w:t xml:space="preserve">(7) Beginning in 2031, the limits established in subsection (3)(b) and (e)(ii) of this section apply unless modified by rule as adopted by the department after a public consultation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200</w:t>
      </w:r>
      <w:r>
        <w:rPr/>
        <w:t xml:space="preserve"> and 2022 c 181 s 4 are each amended to read as follows:</w:t>
      </w:r>
    </w:p>
    <w:p>
      <w:pPr>
        <w:spacing w:before="0" w:after="0" w:line="408" w:lineRule="exact"/>
        <w:ind w:left="0" w:right="0" w:firstLine="576"/>
        <w:jc w:val="left"/>
      </w:pP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compliance instruments to meet its compliance obligation by the specified transfer dates, a penalty of four allowances for every one compliance instrument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of up to $50,000 per day per violation for violations of RCW 70A.65.100(8) (a) through (e).</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incurs a penalty of up to $10,000 per day per violation for each day that the person does not comply. All penalties under subsections (3) and (4) of this section and this subsection must be deposited into the climate investment account created in RCW 70A.65.250.</w:t>
      </w:r>
    </w:p>
    <w:p>
      <w:pPr>
        <w:spacing w:before="0" w:after="0" w:line="408" w:lineRule="exact"/>
        <w:ind w:left="0" w:right="0" w:firstLine="576"/>
        <w:jc w:val="left"/>
      </w:pPr>
      <w:r>
        <w:rPr/>
        <w:t xml:space="preserve">(6) Orders and penalties issued under this chapter are appealable to the pollution control hearings board under chapter 43.21B RCW.</w:t>
      </w:r>
    </w:p>
    <w:p>
      <w:pPr>
        <w:spacing w:before="0" w:after="0" w:line="408" w:lineRule="exact"/>
        <w:ind w:left="0" w:right="0" w:firstLine="576"/>
        <w:jc w:val="left"/>
      </w:pPr>
      <w:r>
        <w:rPr/>
        <w:t xml:space="preserve">(7) </w:t>
      </w:r>
      <w:r>
        <w:t>((</w:t>
      </w:r>
      <w:r>
        <w:rPr>
          <w:strike/>
        </w:rPr>
        <w:t xml:space="preserve">For</w:t>
      </w:r>
      <w:r>
        <w:t>))</w:t>
      </w:r>
      <w:r>
        <w:rPr/>
        <w:t xml:space="preserve"> </w:t>
      </w:r>
      <w:r>
        <w:rPr>
          <w:u w:val="single"/>
        </w:rPr>
        <w:t xml:space="preserve">Until the department enters into a linkage agreement or until the end of</w:t>
      </w:r>
      <w:r>
        <w:rPr/>
        <w:t xml:space="preserve"> the first compliance period, </w:t>
      </w:r>
      <w:r>
        <w:rPr>
          <w:u w:val="single"/>
        </w:rPr>
        <w:t xml:space="preserve">whichever is sooner,</w:t>
      </w:r>
      <w:r>
        <w:rPr/>
        <w:t xml:space="preserve">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 An electric utility or natural gas utility must notify its retail customers and the environmental justice council in published form within three months of paying a monetary penalty under this section.</w:t>
      </w:r>
    </w:p>
    <w:p>
      <w:pPr>
        <w:spacing w:before="0" w:after="0" w:line="408" w:lineRule="exact"/>
        <w:ind w:left="0" w:right="0" w:firstLine="576"/>
        <w:jc w:val="left"/>
      </w:pPr>
      <w:r>
        <w:rPr/>
        <w:t xml:space="preserve">(9)(a)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greenhouse gas pricing or market-based emissions cap and reduce program for stationary sources, or adopt or enforce emission limitations on greenhouse gas emissions from stationary sources except as:</w:t>
      </w:r>
    </w:p>
    <w:p>
      <w:pPr>
        <w:spacing w:before="0" w:after="0" w:line="408" w:lineRule="exact"/>
        <w:ind w:left="0" w:right="0" w:firstLine="576"/>
        <w:jc w:val="left"/>
      </w:pPr>
      <w:r>
        <w:rPr/>
        <w:t xml:space="preserve">(i) Provided in this chapter;</w:t>
      </w:r>
    </w:p>
    <w:p>
      <w:pPr>
        <w:spacing w:before="0" w:after="0" w:line="408" w:lineRule="exact"/>
        <w:ind w:left="0" w:right="0" w:firstLine="576"/>
        <w:jc w:val="left"/>
      </w:pPr>
      <w:r>
        <w:rPr/>
        <w:t xml:space="preserve">(ii) Authorized or directed by a state statute in effect as of July 1, 2022; or</w:t>
      </w:r>
    </w:p>
    <w:p>
      <w:pPr>
        <w:spacing w:before="0" w:after="0" w:line="408" w:lineRule="exact"/>
        <w:ind w:left="0" w:right="0" w:firstLine="576"/>
        <w:jc w:val="left"/>
      </w:pPr>
      <w:r>
        <w:rPr/>
        <w:t xml:space="preserve">(iii) Required to implement a federal statute, rule, or program.</w:t>
      </w:r>
    </w:p>
    <w:p>
      <w:pPr>
        <w:spacing w:before="0" w:after="0" w:line="408" w:lineRule="exact"/>
        <w:ind w:left="0" w:right="0" w:firstLine="576"/>
        <w:jc w:val="left"/>
      </w:pPr>
      <w:r>
        <w:rPr/>
        <w:t xml:space="preserve">(c) This chapter preempts the provisions of chapter 173-442 WAC, and the department shall repeal chapter 173-442 WAC.</w:t>
      </w:r>
    </w:p>
    <w:p>
      <w:pPr>
        <w:spacing w:before="0" w:after="0" w:line="408" w:lineRule="exact"/>
        <w:ind w:left="0" w:right="0" w:firstLine="576"/>
        <w:jc w:val="left"/>
      </w:pPr>
      <w:r>
        <w:rPr/>
        <w:t xml:space="preserve">(10)(a) By December 1, 2023, the office of financial management must submit a report to the appropriate committees of the legislature that summarizes two categories of state laws other than this chapter:</w:t>
      </w:r>
    </w:p>
    <w:p>
      <w:pPr>
        <w:spacing w:before="0" w:after="0" w:line="408" w:lineRule="exact"/>
        <w:ind w:left="0" w:right="0" w:firstLine="576"/>
        <w:jc w:val="left"/>
      </w:pPr>
      <w:r>
        <w:rPr/>
        <w:t xml:space="preserve">(i) Laws that regulate greenhouse gas emissions from stationary sources, and the greenhouse gas emission reductions attributable to each chapter, relative to a baseline in which this chapter and all other state laws that regulate greenhouse gas emissions are presumed to remain in effect; and</w:t>
      </w:r>
    </w:p>
    <w:p>
      <w:pPr>
        <w:spacing w:before="0" w:after="0" w:line="408" w:lineRule="exact"/>
        <w:ind w:left="0" w:right="0" w:firstLine="576"/>
        <w:jc w:val="left"/>
      </w:pPr>
      <w:r>
        <w:rPr/>
        <w:t xml:space="preserve">(ii) Laws whose implementation may effectuate reductions in greenhouse gas emissions from stationary sources.</w:t>
      </w:r>
    </w:p>
    <w:p>
      <w:pPr>
        <w:spacing w:before="0" w:after="0" w:line="408" w:lineRule="exact"/>
        <w:ind w:left="0" w:right="0" w:firstLine="576"/>
        <w:jc w:val="left"/>
      </w:pPr>
      <w:r>
        <w:rPr/>
        <w:t xml:space="preserve">(b) The state laws that the office of financial management may address in completing the report required in this subsection include, but are not limited to:</w:t>
      </w:r>
    </w:p>
    <w:p>
      <w:pPr>
        <w:spacing w:before="0" w:after="0" w:line="408" w:lineRule="exact"/>
        <w:ind w:left="0" w:right="0" w:firstLine="576"/>
        <w:jc w:val="left"/>
      </w:pPr>
      <w:r>
        <w:rPr/>
        <w:t xml:space="preserve">(i) Chapter 19.27A RCW;</w:t>
      </w:r>
    </w:p>
    <w:p>
      <w:pPr>
        <w:spacing w:before="0" w:after="0" w:line="408" w:lineRule="exact"/>
        <w:ind w:left="0" w:right="0" w:firstLine="576"/>
        <w:jc w:val="left"/>
      </w:pPr>
      <w:r>
        <w:rPr/>
        <w:t xml:space="preserve">(ii) Chapter 19.280 RCW;</w:t>
      </w:r>
    </w:p>
    <w:p>
      <w:pPr>
        <w:spacing w:before="0" w:after="0" w:line="408" w:lineRule="exact"/>
        <w:ind w:left="0" w:right="0" w:firstLine="576"/>
        <w:jc w:val="left"/>
      </w:pPr>
      <w:r>
        <w:rPr/>
        <w:t xml:space="preserve">(iii) Chapter 19.405 RCW;</w:t>
      </w:r>
    </w:p>
    <w:p>
      <w:pPr>
        <w:spacing w:before="0" w:after="0" w:line="408" w:lineRule="exact"/>
        <w:ind w:left="0" w:right="0" w:firstLine="576"/>
        <w:jc w:val="left"/>
      </w:pPr>
      <w:r>
        <w:rPr/>
        <w:t xml:space="preserve">(iv) Chapter 36.165 RCW;</w:t>
      </w:r>
    </w:p>
    <w:p>
      <w:pPr>
        <w:spacing w:before="0" w:after="0" w:line="408" w:lineRule="exact"/>
        <w:ind w:left="0" w:right="0" w:firstLine="576"/>
        <w:jc w:val="left"/>
      </w:pPr>
      <w:r>
        <w:rPr/>
        <w:t xml:space="preserve">(v) Chapter 43.21F RCW;</w:t>
      </w:r>
    </w:p>
    <w:p>
      <w:pPr>
        <w:spacing w:before="0" w:after="0" w:line="408" w:lineRule="exact"/>
        <w:ind w:left="0" w:right="0" w:firstLine="576"/>
        <w:jc w:val="left"/>
      </w:pPr>
      <w:r>
        <w:rPr/>
        <w:t xml:space="preserve">(vi) Chapter 70.30 RCW;</w:t>
      </w:r>
    </w:p>
    <w:p>
      <w:pPr>
        <w:spacing w:before="0" w:after="0" w:line="408" w:lineRule="exact"/>
        <w:ind w:left="0" w:right="0" w:firstLine="576"/>
        <w:jc w:val="left"/>
      </w:pPr>
      <w:r>
        <w:rPr/>
        <w:t xml:space="preserve">(vii) Chapter 70A.15 RCW;</w:t>
      </w:r>
    </w:p>
    <w:p>
      <w:pPr>
        <w:spacing w:before="0" w:after="0" w:line="408" w:lineRule="exact"/>
        <w:ind w:left="0" w:right="0" w:firstLine="576"/>
        <w:jc w:val="left"/>
      </w:pPr>
      <w:r>
        <w:rPr/>
        <w:t xml:space="preserve">(viii) Chapter 70A.45 RCW;</w:t>
      </w:r>
    </w:p>
    <w:p>
      <w:pPr>
        <w:spacing w:before="0" w:after="0" w:line="408" w:lineRule="exact"/>
        <w:ind w:left="0" w:right="0" w:firstLine="576"/>
        <w:jc w:val="left"/>
      </w:pPr>
      <w:r>
        <w:rPr/>
        <w:t xml:space="preserve">(ix) Chapter 70A.60 RCW;</w:t>
      </w:r>
    </w:p>
    <w:p>
      <w:pPr>
        <w:spacing w:before="0" w:after="0" w:line="408" w:lineRule="exact"/>
        <w:ind w:left="0" w:right="0" w:firstLine="576"/>
        <w:jc w:val="left"/>
      </w:pPr>
      <w:r>
        <w:rPr/>
        <w:t xml:space="preserve">(x) Chapter 70A.535 RCW;</w:t>
      </w:r>
    </w:p>
    <w:p>
      <w:pPr>
        <w:spacing w:before="0" w:after="0" w:line="408" w:lineRule="exact"/>
        <w:ind w:left="0" w:right="0" w:firstLine="576"/>
        <w:jc w:val="left"/>
      </w:pPr>
      <w:r>
        <w:rPr/>
        <w:t xml:space="preserve">(xi) Chapter 80.04 RCW;</w:t>
      </w:r>
    </w:p>
    <w:p>
      <w:pPr>
        <w:spacing w:before="0" w:after="0" w:line="408" w:lineRule="exact"/>
        <w:ind w:left="0" w:right="0" w:firstLine="576"/>
        <w:jc w:val="left"/>
      </w:pPr>
      <w:r>
        <w:rPr/>
        <w:t xml:space="preserve">(xii) Chapter 80.28 RCW;</w:t>
      </w:r>
    </w:p>
    <w:p>
      <w:pPr>
        <w:spacing w:before="0" w:after="0" w:line="408" w:lineRule="exact"/>
        <w:ind w:left="0" w:right="0" w:firstLine="576"/>
        <w:jc w:val="left"/>
      </w:pPr>
      <w:r>
        <w:rPr/>
        <w:t xml:space="preserve">(xiii) Chapter 80.70 RCW;</w:t>
      </w:r>
    </w:p>
    <w:p>
      <w:pPr>
        <w:spacing w:before="0" w:after="0" w:line="408" w:lineRule="exact"/>
        <w:ind w:left="0" w:right="0" w:firstLine="576"/>
        <w:jc w:val="left"/>
      </w:pPr>
      <w:r>
        <w:rPr/>
        <w:t xml:space="preserve">(xiv) Chapter 80.80 RCW; and</w:t>
      </w:r>
    </w:p>
    <w:p>
      <w:pPr>
        <w:spacing w:before="0" w:after="0" w:line="408" w:lineRule="exact"/>
        <w:ind w:left="0" w:right="0" w:firstLine="576"/>
        <w:jc w:val="left"/>
      </w:pPr>
      <w:r>
        <w:rPr/>
        <w:t xml:space="preserve">(xv) Chapter 81.88 RCW.</w:t>
      </w:r>
    </w:p>
    <w:p>
      <w:pPr>
        <w:spacing w:before="0" w:after="0" w:line="408" w:lineRule="exact"/>
        <w:ind w:left="0" w:right="0" w:firstLine="576"/>
        <w:jc w:val="left"/>
      </w:pPr>
      <w:r>
        <w:rPr/>
        <w:t xml:space="preserve">(c) The office of financial management may contract for all or part of the work product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210</w:t>
      </w:r>
      <w:r>
        <w:rPr/>
        <w:t xml:space="preserve"> and 2021 c 316 s 24 are each amended to read as follows:</w:t>
      </w:r>
    </w:p>
    <w:p>
      <w:pPr>
        <w:spacing w:before="0" w:after="0" w:line="408" w:lineRule="exact"/>
        <w:ind w:left="0" w:right="0" w:firstLine="576"/>
        <w:jc w:val="left"/>
      </w:pPr>
      <w:r>
        <w:rPr/>
        <w:t xml:space="preserve">(1) Subject to making the findings and conducting the public comment process described in subsection (3) of this section, the department shall seek to enter into linkage agreements with other jurisdictions with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regular, periodic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evaluate and make a finding regarding whether the aggregate number of unused allowances in a linked program would reduce the stringency of Washington's program and the state's ability to achieve its greenhouse gas emissions reduction limits. The department must include in its evaluation a consideration of pre-2020 unused allowances that may exist in the program with which it is proposing to link. Before entering into a linkage agreement, the department must also establish a finding that the linking jurisdiction and the linkage agreement meet certain criteria identified under this subsection and conduct a public comment process to obtain input and a review of the linkage agreement by relevant stakeholders and other interested parties. The department must consider input received from the public comment process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w:t>
      </w:r>
      <w:r>
        <w:rPr>
          <w:u w:val="single"/>
        </w:rPr>
        <w:t xml:space="preserve">Before entering a linkage agreement, the department must post and maintain on its website, and provide notification to the appropriate policy and fiscal committees of the legislature, a quarterly status update regarding any potential linkage agreement that the department has determined to seek to enter into under this section. The status report must include:</w:t>
      </w:r>
    </w:p>
    <w:p>
      <w:pPr>
        <w:spacing w:before="0" w:after="0" w:line="408" w:lineRule="exact"/>
        <w:ind w:left="0" w:right="0" w:firstLine="576"/>
        <w:jc w:val="left"/>
      </w:pPr>
      <w:r>
        <w:rPr>
          <w:u w:val="single"/>
        </w:rPr>
        <w:t xml:space="preserve">(a) An outline of the expected steps that the department expects that it and linked jurisdictions will need to take prior to entering into a linkage agreement, including the requirements of subsection (3) of this section;</w:t>
      </w:r>
    </w:p>
    <w:p>
      <w:pPr>
        <w:spacing w:before="0" w:after="0" w:line="408" w:lineRule="exact"/>
        <w:ind w:left="0" w:right="0" w:firstLine="576"/>
        <w:jc w:val="left"/>
      </w:pPr>
      <w:r>
        <w:rPr>
          <w:u w:val="single"/>
        </w:rPr>
        <w:t xml:space="preserve">(b) Notation of any steps completed or initiated under (a) of this subsection; and</w:t>
      </w:r>
    </w:p>
    <w:p>
      <w:pPr>
        <w:spacing w:before="0" w:after="0" w:line="408" w:lineRule="exact"/>
        <w:ind w:left="0" w:right="0" w:firstLine="576"/>
        <w:jc w:val="left"/>
      </w:pPr>
      <w:r>
        <w:rPr>
          <w:u w:val="single"/>
        </w:rPr>
        <w:t xml:space="preserve">(c) An estimate of the time frames of possible completion for any steps identified under (a) of this subsection that have not yet been completed.</w:t>
      </w:r>
    </w:p>
    <w:p>
      <w:pPr>
        <w:spacing w:before="0" w:after="0" w:line="408" w:lineRule="exact"/>
        <w:ind w:left="0" w:right="0" w:firstLine="576"/>
        <w:jc w:val="left"/>
      </w:pPr>
      <w:r>
        <w:rPr>
          <w:u w:val="single"/>
        </w:rPr>
        <w:t xml:space="preserve">(5)</w:t>
      </w:r>
      <w:r>
        <w:rPr/>
        <w:t xml:space="preserve"> The state retains all legal and policymaking authority over its program design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310</w:t>
      </w:r>
      <w:r>
        <w:rPr/>
        <w:t xml:space="preserve"> and 2022 c 181 s 2 are each amended to read as follows:</w:t>
      </w:r>
    </w:p>
    <w:p>
      <w:pPr>
        <w:spacing w:before="0" w:after="0" w:line="408" w:lineRule="exact"/>
        <w:ind w:left="0" w:right="0" w:firstLine="576"/>
        <w:jc w:val="left"/>
      </w:pPr>
      <w:r>
        <w:rPr/>
        <w:t xml:space="preserve">(1) A covered or opt-in entity has a compliance obligation for its emissions during each </w:t>
      </w:r>
      <w:r>
        <w:t>((</w:t>
      </w:r>
      <w:r>
        <w:rPr>
          <w:strike/>
        </w:rPr>
        <w:t xml:space="preserve">four-year</w:t>
      </w:r>
      <w:r>
        <w:t>))</w:t>
      </w:r>
      <w:r>
        <w:rPr/>
        <w:t xml:space="preserve"> compliance period, with the first compliance period commencing January 1, 2023. The department shall by rule require that covered or opt-in entities annually transfer a percentage of compliance instruments, but must fully satisfy their compliance obligation, for each compliance period.</w:t>
      </w:r>
    </w:p>
    <w:p>
      <w:pPr>
        <w:spacing w:before="0" w:after="0" w:line="408" w:lineRule="exact"/>
        <w:ind w:left="0" w:right="0" w:firstLine="576"/>
        <w:jc w:val="left"/>
      </w:pPr>
      <w:r>
        <w:rPr/>
        <w:t xml:space="preserve">(2) Compliance occurs through the transfer of the required compliance instruments or price ceiling units, on or before the transfer date, from the holding account to the compliance account of the covered or opt-in entity as described in RCW 70A.65.080.</w:t>
      </w:r>
    </w:p>
    <w:p>
      <w:pPr>
        <w:spacing w:before="0" w:after="0" w:line="408" w:lineRule="exact"/>
        <w:ind w:left="0" w:right="0" w:firstLine="576"/>
        <w:jc w:val="left"/>
      </w:pPr>
      <w:r>
        <w:rPr/>
        <w:t xml:space="preserve">(3)(a) A covered entity may substitute the submission of compliance instruments with price ceiling units.</w:t>
      </w:r>
    </w:p>
    <w:p>
      <w:pPr>
        <w:spacing w:before="0" w:after="0" w:line="408" w:lineRule="exact"/>
        <w:ind w:left="0" w:right="0" w:firstLine="576"/>
        <w:jc w:val="left"/>
      </w:pPr>
      <w:r>
        <w:rPr/>
        <w:t xml:space="preserve">(b) A covered or opt-in entity submitting insufficient compliance instruments to meet its compliance obligation is subject to a penalty as provided in RCW 70A.65.200.</w:t>
      </w:r>
    </w:p>
    <w:p>
      <w:pPr>
        <w:spacing w:before="0" w:after="0" w:line="408" w:lineRule="exact"/>
        <w:ind w:left="0" w:right="0" w:firstLine="576"/>
        <w:jc w:val="left"/>
      </w:pPr>
      <w:r>
        <w:rPr/>
        <w:t xml:space="preserve">(4) Older vintage allowances must be retired before newer vintage allowances.</w:t>
      </w:r>
    </w:p>
    <w:p>
      <w:pPr>
        <w:spacing w:before="0" w:after="0" w:line="408" w:lineRule="exact"/>
        <w:ind w:left="0" w:right="0" w:firstLine="576"/>
        <w:jc w:val="left"/>
      </w:pPr>
      <w:r>
        <w:rPr/>
        <w:t xml:space="preserve">(5) Upon receipt by the department of all compliance instruments transferred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federal power marketing administration may elect to voluntarily participate in the program by registering as an opt-in entity pursuant to the requirements of this section.</w:t>
      </w:r>
    </w:p>
    <w:p>
      <w:pPr>
        <w:spacing w:before="0" w:after="0" w:line="408" w:lineRule="exact"/>
        <w:ind w:left="0" w:right="0" w:firstLine="576"/>
        <w:jc w:val="left"/>
      </w:pPr>
      <w:r>
        <w:rPr/>
        <w:t xml:space="preserve">(2) In registering as an opt-in entity under this section, a federal power marketing administration may assume the compliance obligations associated with either:</w:t>
      </w:r>
    </w:p>
    <w:p>
      <w:pPr>
        <w:spacing w:before="0" w:after="0" w:line="408" w:lineRule="exact"/>
        <w:ind w:left="0" w:right="0" w:firstLine="576"/>
        <w:jc w:val="left"/>
      </w:pPr>
      <w:r>
        <w:rPr/>
        <w:t xml:space="preserve">(a) All electricity marketed in the state by the federal power marketing administration; or</w:t>
      </w:r>
    </w:p>
    <w:p>
      <w:pPr>
        <w:spacing w:before="0" w:after="0" w:line="408" w:lineRule="exact"/>
        <w:ind w:left="0" w:right="0" w:firstLine="576"/>
        <w:jc w:val="left"/>
      </w:pPr>
      <w:r>
        <w:rPr/>
        <w:t xml:space="preserve">(b) Only the electricity marketed by the federal power marketing administration in the state through a centralized electricity market.</w:t>
      </w:r>
    </w:p>
    <w:p>
      <w:pPr>
        <w:spacing w:before="0" w:after="0" w:line="408" w:lineRule="exact"/>
        <w:ind w:left="0" w:right="0" w:firstLine="576"/>
        <w:jc w:val="left"/>
      </w:pPr>
      <w:r>
        <w:rPr/>
        <w:t xml:space="preserve">(3) A federal power marketing administration that voluntarily elects to comply with the program must register with the department as an opt-in entity at least 90 days prior to January 1st of the calendar year in which the federal power marketing administration would assume the compliance obligations associated with federally marketed electricity in the state, in accordance with the requirements of this section.</w:t>
      </w:r>
    </w:p>
    <w:p>
      <w:pPr>
        <w:spacing w:before="0" w:after="0" w:line="408" w:lineRule="exact"/>
        <w:ind w:left="0" w:right="0" w:firstLine="576"/>
        <w:jc w:val="left"/>
      </w:pPr>
      <w:r>
        <w:rPr/>
        <w:t xml:space="preserve">(4) If a federal power marketing administration registers as an opt-in entity under this section, then beginning January 1st of the calendar year in which the federal power marketing administration would assume the compliance obligations associated with federally marketed electricity in the state, a covered or opt-in entity must not include in its covered emissions the emissions associated with federally marketed electricity in the state for which the federal power marketing administration has assumed the compliance obligation.</w:t>
      </w:r>
    </w:p>
    <w:p>
      <w:pPr>
        <w:spacing w:before="0" w:after="0" w:line="408" w:lineRule="exact"/>
        <w:ind w:left="0" w:right="0" w:firstLine="576"/>
        <w:jc w:val="left"/>
      </w:pPr>
      <w:r>
        <w:rPr/>
        <w:t xml:space="preserve">(5) After consulting with a federal power marketing administration, the department must determine the appropriate registration requirements for that federal power marketing administration.</w:t>
      </w:r>
    </w:p>
    <w:p>
      <w:pPr>
        <w:spacing w:before="0" w:after="0" w:line="408" w:lineRule="exact"/>
        <w:ind w:left="0" w:right="0" w:firstLine="576"/>
        <w:jc w:val="left"/>
      </w:pPr>
      <w:r>
        <w:rPr/>
        <w:t xml:space="preserve">(6)(a) An electric utility may voluntarily elect to transfer all or a designated number of the utility's allowances allocated at no cost to a federal power marketing administration registered as an opt-in entity under this section to be used for direct compliance. An electric utility wishing to transfer allowances allocated at no cost from the utility's holding account to a holding account of a federal power marketing administration to be used for direct compliance may submit a request to the department requesting the transfer and providing the following information:</w:t>
      </w:r>
    </w:p>
    <w:p>
      <w:pPr>
        <w:spacing w:before="0" w:after="0" w:line="408" w:lineRule="exact"/>
        <w:ind w:left="0" w:right="0" w:firstLine="576"/>
        <w:jc w:val="left"/>
      </w:pPr>
      <w:r>
        <w:rPr/>
        <w:t xml:space="preserve">(i) The electric utility's holding account number;</w:t>
      </w:r>
    </w:p>
    <w:p>
      <w:pPr>
        <w:spacing w:before="0" w:after="0" w:line="408" w:lineRule="exact"/>
        <w:ind w:left="0" w:right="0" w:firstLine="576"/>
        <w:jc w:val="left"/>
      </w:pPr>
      <w:r>
        <w:rPr/>
        <w:t xml:space="preserve">(ii) The holding account number of the federal power marketing administration;</w:t>
      </w:r>
    </w:p>
    <w:p>
      <w:pPr>
        <w:spacing w:before="0" w:after="0" w:line="408" w:lineRule="exact"/>
        <w:ind w:left="0" w:right="0" w:firstLine="576"/>
        <w:jc w:val="left"/>
      </w:pPr>
      <w:r>
        <w:rPr/>
        <w:t xml:space="preserve">(iii) The number and vintage of no cost allowances to be transferred; and</w:t>
      </w:r>
    </w:p>
    <w:p>
      <w:pPr>
        <w:spacing w:before="0" w:after="0" w:line="408" w:lineRule="exact"/>
        <w:ind w:left="0" w:right="0" w:firstLine="576"/>
        <w:jc w:val="left"/>
      </w:pPr>
      <w:r>
        <w:rPr/>
        <w:t xml:space="preserve">(iv) The relationship between the electric utility and the federal power marketing administration.</w:t>
      </w:r>
    </w:p>
    <w:p>
      <w:pPr>
        <w:spacing w:before="0" w:after="0" w:line="408" w:lineRule="exact"/>
        <w:ind w:left="0" w:right="0" w:firstLine="576"/>
        <w:jc w:val="left"/>
      </w:pPr>
      <w:r>
        <w:rPr/>
        <w:t xml:space="preserve">(b) The department may transfer the allowances only if:</w:t>
      </w:r>
    </w:p>
    <w:p>
      <w:pPr>
        <w:spacing w:before="0" w:after="0" w:line="408" w:lineRule="exact"/>
        <w:ind w:left="0" w:right="0" w:firstLine="576"/>
        <w:jc w:val="left"/>
      </w:pPr>
      <w:r>
        <w:rPr/>
        <w:t xml:space="preserve">(i) The electric utility has an agreement to purchase electricity from the federal power marketing administration, or a power purchase agreement, including a custom product contract, with the federal power marketing administration; and</w:t>
      </w:r>
    </w:p>
    <w:p>
      <w:pPr>
        <w:spacing w:before="0" w:after="0" w:line="408" w:lineRule="exact"/>
        <w:ind w:left="0" w:right="0" w:firstLine="576"/>
        <w:jc w:val="left"/>
      </w:pPr>
      <w:r>
        <w:rPr/>
        <w:t xml:space="preserve">(ii) The transfer does not violate the federal power marketing administration's holding limit.</w:t>
      </w:r>
    </w:p>
    <w:p>
      <w:pPr>
        <w:spacing w:before="0" w:after="0" w:line="408" w:lineRule="exact"/>
        <w:ind w:left="0" w:right="0" w:firstLine="576"/>
        <w:jc w:val="left"/>
      </w:pPr>
      <w:r>
        <w:rPr/>
        <w:t xml:space="preserve">(7)(a) In addition to the manual transfer request process provided under subsection (6) of this section, the department must also provide for an optional process by which an electric utility may approve the automatic distribution of all or a designated number of the utility's allowances allocated at no cost directly into a holding account of a federal power marketing administration to be used for direct compliance, without first being distributed to the utility's holding account.</w:t>
      </w:r>
    </w:p>
    <w:p>
      <w:pPr>
        <w:spacing w:before="0" w:after="0" w:line="408" w:lineRule="exact"/>
        <w:ind w:left="0" w:right="0" w:firstLine="576"/>
        <w:jc w:val="left"/>
      </w:pPr>
      <w:r>
        <w:rPr/>
        <w:t xml:space="preserve">(b) An electric utility receiving an allocation of allowances at no cost must inform the department by September 1st of each year of the accounts into which the allocation or a portion of the allocation is to be automatically distributed under this subsection. If an electric utility fails to submit its distribution preference by September 1st, the department must automatically place all directly allocated allowances for the following calendar year into the electric utility's holding account. Nothing in this subsection (7)(b) precludes an electric utility from requesting a manual transfer of allowances under subsection (6) of this section after September 1st of each year.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2200</w:t>
      </w:r>
      <w:r>
        <w:rPr/>
        <w:t xml:space="preserve"> and 2022 c 181 s 9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10,000,000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or from </w:t>
      </w:r>
      <w:r>
        <w:t>((</w:t>
      </w:r>
      <w:r>
        <w:rPr>
          <w:strike/>
        </w:rPr>
        <w:t xml:space="preserve">electricity or</w:t>
      </w:r>
      <w:r>
        <w:t>))</w:t>
      </w:r>
      <w:r>
        <w:rPr/>
        <w:t xml:space="preserve"> fossil fuels sold in Washington by a single supplier or local distribution company, meet or exceed 10,000 metric tons of carbon dioxide equivalent annually. </w:t>
      </w:r>
      <w:r>
        <w:rPr>
          <w:u w:val="single"/>
        </w:rPr>
        <w:t xml:space="preserve">The department's rules may also require electric power entities to report emissions of greenhouse gases from all electricity that is purchased, sold, imported, exported, or exchanged in Washington.</w:t>
      </w:r>
      <w:r>
        <w:rPr/>
        <w:t xml:space="preserve"> The rules adopted by the department must support implementation of the program created in RCW 70A.65.060.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t>((</w:t>
      </w:r>
      <w:r>
        <w:rPr>
          <w:strike/>
        </w:rPr>
        <w:t xml:space="preserve">and</w:t>
      </w:r>
      <w:r>
        <w:t>))</w:t>
      </w:r>
    </w:p>
    <w:p>
      <w:pPr>
        <w:spacing w:before="0" w:after="0" w:line="408" w:lineRule="exact"/>
        <w:ind w:left="0" w:right="0" w:firstLine="576"/>
        <w:jc w:val="left"/>
      </w:pPr>
      <w:r>
        <w:rPr/>
        <w:t xml:space="preserve">(ii) Each annual report must include emissions data for the preceding calendar year and must be submitted to the department by March 31st of the year in which the report is due, except for an electric power entity, which must submit its report by June 1st of the year in which the report is due</w:t>
      </w:r>
      <w:r>
        <w:rPr>
          <w:u w:val="single"/>
        </w:rPr>
        <w:t xml:space="preserve">; and</w:t>
      </w:r>
    </w:p>
    <w:p>
      <w:pPr>
        <w:spacing w:before="0" w:after="0" w:line="408" w:lineRule="exact"/>
        <w:ind w:left="0" w:right="0" w:firstLine="576"/>
        <w:jc w:val="left"/>
      </w:pPr>
      <w:r>
        <w:rPr>
          <w:u w:val="single"/>
        </w:rPr>
        <w:t xml:space="preserve">(iii) To the extent practicable, the department's rules must seek to minimize reporting burdens through the utilization of existing reports and disclosures for electric power entities who report greenhouse gas emissions that equal 10,000 metric tons of carbon dioxide equivalent or less annually from all electricity that is purchased, sold, imported, exported, or exchanged in Washington</w:t>
      </w:r>
      <w:r>
        <w:rPr/>
        <w:t xml:space="preserve">.</w:t>
      </w:r>
    </w:p>
    <w:p>
      <w:pPr>
        <w:spacing w:before="0" w:after="0" w:line="408" w:lineRule="exact"/>
        <w:ind w:left="0" w:right="0" w:firstLine="576"/>
        <w:jc w:val="left"/>
      </w:pPr>
      <w:r>
        <w:rPr/>
        <w:t xml:space="preserve">(b)(i) The department may by rule include additional gases to the definition of "greenhouse gas" in RCW 70A.45.010 only if the gas has been designated as a greenhouse gas by the United States congress, by the United States environmental protection agency, or included in external greenhouse gas emission trading programs with which Washington has pursuant to RCW 70A.65.210. Prior to including additional gases to the definition of "greenhouse gas" in RCW 70A.45.010, the department shall notify the appropriate committees of the legislature.</w:t>
      </w:r>
    </w:p>
    <w:p>
      <w:pPr>
        <w:spacing w:before="0" w:after="0" w:line="408" w:lineRule="exact"/>
        <w:ind w:left="0" w:right="0" w:firstLine="576"/>
        <w:jc w:val="left"/>
      </w:pPr>
      <w:r>
        <w:rPr/>
        <w:t xml:space="preserve">(ii) The department may by rule exempt persons who are required to report greenhouse gas emissions to the United States environmental protection agency and who emit less than 10,000 metric tons carbon dioxide equivalent annually.</w:t>
      </w:r>
    </w:p>
    <w:p>
      <w:pPr>
        <w:spacing w:before="0" w:after="0" w:line="408" w:lineRule="exact"/>
        <w:ind w:left="0" w:right="0" w:firstLine="576"/>
        <w:jc w:val="left"/>
      </w:pPr>
      <w:r>
        <w:rPr/>
        <w:t xml:space="preserve">(iii) </w:t>
      </w:r>
      <w:r>
        <w:rPr>
          <w:u w:val="single"/>
        </w:rPr>
        <w:t xml:space="preserve">The department must establish greenhouse gas emission reporting methodologies for persons who are required to report under this section. The department's reporting methodologies must be designed to address the needs of ensuring accuracy of reported emissions and maintaining consistency over time, and may, to the extent practicable, be similar to reporting methodologies of jurisdictions with which Washington has entered into a linkage agreement.</w:t>
      </w:r>
    </w:p>
    <w:p>
      <w:pPr>
        <w:spacing w:before="0" w:after="0" w:line="408" w:lineRule="exact"/>
        <w:ind w:left="0" w:right="0" w:firstLine="576"/>
        <w:jc w:val="left"/>
      </w:pPr>
      <w:r>
        <w:rPr>
          <w:u w:val="single"/>
        </w:rPr>
        <w:t xml:space="preserve">(iv)</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t>((</w:t>
      </w:r>
      <w:r>
        <w:rPr>
          <w:strike/>
        </w:rPr>
        <w:t xml:space="preserve">(i) The department shall review and if necessary update its rules whenever:</w:t>
      </w:r>
    </w:p>
    <w:p>
      <w:pPr>
        <w:spacing w:before="0" w:after="0" w:line="408" w:lineRule="exact"/>
        <w:ind w:left="0" w:right="0" w:firstLine="576"/>
        <w:jc w:val="left"/>
      </w:pPr>
      <w:r>
        <w:rPr>
          <w:strike/>
        </w:rPr>
        <w:t xml:space="preserve">(A) The United States environmental protection agency adopts final amendments to 40 C.F.R. Part 98 to ensure consistency with federal reporting requirements for emissions of greenhouse gases; or</w:t>
      </w:r>
    </w:p>
    <w:p>
      <w:pPr>
        <w:spacing w:before="0" w:after="0" w:line="408" w:lineRule="exact"/>
        <w:ind w:left="0" w:right="0" w:firstLine="576"/>
        <w:jc w:val="left"/>
      </w:pPr>
      <w:r>
        <w:rPr>
          <w:strike/>
        </w:rPr>
        <w:t xml:space="preserve">(B) Needed to ensure consistency with emissions reporting requirements for jurisdictions with which Washington has entered a linkage agreement.</w:t>
      </w:r>
    </w:p>
    <w:p>
      <w:pPr>
        <w:spacing w:before="0" w:after="0" w:line="408" w:lineRule="exact"/>
        <w:ind w:left="0" w:right="0" w:firstLine="576"/>
        <w:jc w:val="left"/>
      </w:pPr>
      <w:r>
        <w:rPr>
          <w:strike/>
        </w:rPr>
        <w:t xml:space="preserve">(ii) The department shall not amend its rules in a manner that conflicts with this section.</w:t>
      </w:r>
    </w:p>
    <w:p>
      <w:pPr>
        <w:spacing w:before="0" w:after="0" w:line="408" w:lineRule="exact"/>
        <w:ind w:left="0" w:right="0" w:firstLine="576"/>
        <w:jc w:val="left"/>
      </w:pPr>
      <w:r>
        <w:rPr>
          <w:strike/>
        </w:rPr>
        <w:t xml:space="preserve">(d)</w:t>
      </w:r>
      <w:r>
        <w:t>))</w:t>
      </w:r>
      <w:r>
        <w:rPr/>
        <w:t xml:space="preserve">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When a person that holds a compliance obligation under RCW 70A.65.080 fails to submit an emissions data report or fails to obtain a positive emissions data verification statement in accordance with </w:t>
      </w:r>
      <w:r>
        <w:t>((</w:t>
      </w:r>
      <w:r>
        <w:rPr>
          <w:strike/>
        </w:rPr>
        <w:t xml:space="preserve">(g)</w:t>
      </w:r>
      <w:r>
        <w:t>))</w:t>
      </w:r>
      <w:r>
        <w:rPr/>
        <w:t xml:space="preserve"> </w:t>
      </w:r>
      <w:r>
        <w:rPr>
          <w:u w:val="single"/>
        </w:rPr>
        <w:t xml:space="preserve">(f)</w:t>
      </w:r>
      <w:r>
        <w:rPr/>
        <w:t xml:space="preserve">(ii) of this subsection, the department may assign an emissions level for that person.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(i) The department must establish by rule the methods of verifying the accuracy of emissions reports.</w:t>
      </w:r>
    </w:p>
    <w:p>
      <w:pPr>
        <w:spacing w:before="0" w:after="0" w:line="408" w:lineRule="exact"/>
        <w:ind w:left="0" w:right="0" w:firstLine="576"/>
        <w:jc w:val="left"/>
      </w:pPr>
      <w:r>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RCW 70A.65.080 in any year of the current compliance period. The department may adopt rules to accept verification reports from another jurisdiction with a linkage agreement pursuant to RCW 70A.65.180 in cases where the department deems that the methods or procedures are substantively similar.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p>
    <w:p>
      <w:pPr>
        <w:spacing w:before="0" w:after="0" w:line="408" w:lineRule="exact"/>
        <w:ind w:left="0" w:right="0" w:firstLine="576"/>
        <w:jc w:val="left"/>
      </w:pPr>
      <w:r>
        <w:rPr/>
        <w:t xml:space="preserve">(iii) For the purpose of this subsection (5), the term "person" includes: (A) An owner or operator of a facility; (B) a supplier; or (C) an electric power entity.</w:t>
      </w:r>
    </w:p>
    <w:p>
      <w:pPr>
        <w:spacing w:before="0" w:after="0" w:line="408" w:lineRule="exact"/>
        <w:ind w:left="0" w:right="0" w:firstLine="576"/>
        <w:jc w:val="left"/>
      </w:pPr>
      <w:r>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RCW 70A.65.010, not otherwise included here.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a conflicting measure dealing with the same subject as Initiative Measure No. 2117 within the meaning of Article II, section 1 of the state Constitution, but if a court of competent jurisdiction enters a final judgment that is no longer subject to appeal directing the secretary of state to place this act on the 2024 ballot as a conflicting measure to Initiative Measure No. 2117, this act is null and void and may not be placed on the 2024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 only if Initiative Measure No. 2117 is not approved by a vote of the people in the 2024 general election. If Initiative Measure No. 2117 is approved by a vote of the people in the 2024 general election, this act is null and void.</w:t>
      </w:r>
    </w:p>
    <w:p/>
    <w:p>
      <w:pPr>
        <w:jc w:val="center"/>
      </w:pPr>
      <w:r>
        <w:rPr>
          <w:b/>
        </w:rPr>
        <w:t>--- END ---</w:t>
      </w:r>
    </w:p>
    <w:sectPr>
      <w:pgNumType w:start="1"/>
      <w:footerReference xmlns:r="http://schemas.openxmlformats.org/officeDocument/2006/relationships" r:id="R88f113642e7b4a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6058.PL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38315f3eb54bac" /><Relationship Type="http://schemas.openxmlformats.org/officeDocument/2006/relationships/footer" Target="/word/footer1.xml" Id="R88f113642e7b4a4c" /></Relationships>
</file>