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847d1c5d149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6094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6094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 Robinson; by request of Health Care Authority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statutory language concerning the retired state employee and retired or disabled school employee health insurance subsidy with the historical interpretation and implementation of the relevant subsidy language in the operating budget; and amending RCW 41.05.085.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2018 c 260 s 16 are each amended to read as follows:</w:t>
      </w:r>
    </w:p>
    <w:p>
      <w:pPr>
        <w:spacing w:before="0" w:after="0" w:line="408" w:lineRule="exact"/>
        <w:ind w:left="0" w:right="0" w:firstLine="576"/>
        <w:jc w:val="left"/>
      </w:pPr>
      <w:r>
        <w:rPr/>
        <w:t xml:space="preserve">(1) </w:t>
      </w:r>
      <w:r>
        <w:t>((</w:t>
      </w:r>
      <w:r>
        <w:rPr>
          <w:strike/>
        </w:rPr>
        <w:t xml:space="preserve">Beginning with the appropriations act for the 2005-2007 biennium, the</w:t>
      </w:r>
      <w:r>
        <w:t>))</w:t>
      </w:r>
      <w:r>
        <w:rPr/>
        <w:t xml:space="preserve"> </w:t>
      </w:r>
      <w:r>
        <w:rPr>
          <w:u w:val="single"/>
        </w:rPr>
        <w:t xml:space="preserve">The</w:t>
      </w:r>
      <w:r>
        <w:rPr/>
        <w:t xml:space="preserve"> legislature shall establish as part of both the state employees' and the school and educational service district employees' insurance benefit allocation the portion of the allocation to be used to provide a </w:t>
      </w:r>
      <w:r>
        <w:t>((</w:t>
      </w:r>
      <w:r>
        <w:rPr>
          <w:strike/>
        </w:rPr>
        <w:t xml:space="preserve">prescription drug</w:t>
      </w:r>
      <w:r>
        <w:t>))</w:t>
      </w:r>
      <w:r>
        <w:rPr/>
        <w:t xml:space="preserve"> subsidy to reduce the </w:t>
      </w:r>
      <w:r>
        <w:t>((</w:t>
      </w:r>
      <w:r>
        <w:rPr>
          <w:strike/>
        </w:rPr>
        <w:t xml:space="preserve">health care</w:t>
      </w:r>
      <w:r>
        <w:t>))</w:t>
      </w:r>
      <w:r>
        <w:rPr/>
        <w:t xml:space="preserve"> </w:t>
      </w:r>
      <w:r>
        <w:rPr>
          <w:u w:val="single"/>
        </w:rPr>
        <w:t xml:space="preserve">medical and prescription drug</w:t>
      </w:r>
      <w:r>
        <w:rPr/>
        <w:t xml:space="preserve"> insurance premium</w:t>
      </w:r>
      <w:r>
        <w:t>((</w:t>
      </w:r>
      <w:r>
        <w:rPr>
          <w:strike/>
        </w:rPr>
        <w:t xml:space="preserve">s</w:t>
      </w:r>
      <w:r>
        <w:t>))</w:t>
      </w:r>
      <w:r>
        <w:rPr/>
        <w:t xml:space="preserve"> charged to retired or disabled school district and educational service district employees, or retired state employees, who are eligible for parts A and B of medicare. </w:t>
      </w:r>
      <w:r>
        <w:t>((</w:t>
      </w:r>
      <w:r>
        <w:rPr>
          <w:strike/>
        </w:rPr>
        <w:t xml:space="preserve">The legislature may also establish a separate health care subsidy to reduce insurance premiums charged to individuals who select a medicare supplemental insurance policy option established in RCW 41.05.195.</w:t>
      </w:r>
      <w:r>
        <w:t>))</w:t>
      </w:r>
    </w:p>
    <w:p>
      <w:pPr>
        <w:spacing w:before="0" w:after="0" w:line="408" w:lineRule="exact"/>
        <w:ind w:left="0" w:right="0" w:firstLine="576"/>
        <w:jc w:val="left"/>
      </w:pPr>
      <w:r>
        <w:rPr/>
        <w:t xml:space="preserve">(2) The amount of any premium reduction shall be established by the public employees' benefits board. The amount established shall not result in a premium reduction of more than fifty percent, except as provided in subsection (3) of this section. The public employees' benefits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fifty percent, if the director, in consultation with the office of financial management, determines that it is necessary in order to meet eligibility requirements to participate in the federal employer incentive program as provided in RCW 41.05.068.</w:t>
      </w:r>
    </w:p>
    <w:p/>
    <w:p>
      <w:pPr>
        <w:jc w:val="center"/>
      </w:pPr>
      <w:r>
        <w:rPr>
          <w:b/>
        </w:rPr>
        <w:t>--- END ---</w:t>
      </w:r>
    </w:p>
    <w:sectPr>
      <w:pgNumType w:start="1"/>
      <w:footerReference xmlns:r="http://schemas.openxmlformats.org/officeDocument/2006/relationships" r:id="R8dd6b16a253144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e8fabe819340f6" /><Relationship Type="http://schemas.openxmlformats.org/officeDocument/2006/relationships/footer" Target="/word/footer1.xml" Id="R8dd6b16a253144dd" /></Relationships>
</file>