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aed9e5134045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1048</w:t>
      </w:r>
    </w:p>
    <w:p>
      <w:pPr>
        <w:jc w:val="center"/>
        <w:spacing w:before="480" w:after="0" w:line="240"/>
      </w:pPr>
      <w:r>
        <w:t xml:space="preserve">Chapter </w:t>
      </w:r>
      <w:r>
        <w:rPr/>
        <w:t xml:space="preserve">56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VOTING RIGHTS ACT—VARIOUS PROVISIONS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57</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1048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Mena, Simmons, Goodman, Berry, Ramel, Peterson, Pollet, Doglio, Macri, Morgan, Wylie, Gregerson, Bergquist, Street, Cortes, Santos, Ormsby, and Farivar)</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Washington voting rights act; amending RCW 29A.92.010, 29A.92.030, 29A.92.040, 29A.92.060, 29A.92.090, 29A.92.110, 29A.92.070, 29A.92.080, 29A.92.130, and 36.32.020; adding new sections to chapter 29A.92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further recognition of the protections for the right to vote provided by the Constitution of the state of Washington, statutes, rules and regulations, and local laws, town charters, and ordinances related to the right to vote shall be construed liberally in favor of:</w:t>
      </w:r>
    </w:p>
    <w:p>
      <w:pPr>
        <w:spacing w:before="0" w:after="0" w:line="408" w:lineRule="exact"/>
        <w:ind w:left="0" w:right="0" w:firstLine="576"/>
        <w:jc w:val="left"/>
      </w:pPr>
      <w:r>
        <w:rPr/>
        <w:t xml:space="preserve">(1) Protecting the right to cast an effective ballot;</w:t>
      </w:r>
    </w:p>
    <w:p>
      <w:pPr>
        <w:spacing w:before="0" w:after="0" w:line="408" w:lineRule="exact"/>
        <w:ind w:left="0" w:right="0" w:firstLine="576"/>
        <w:jc w:val="left"/>
      </w:pPr>
      <w:r>
        <w:rPr/>
        <w:t xml:space="preserve">(2) Ensuring that eligible voters are not impaired in registering to vote or voting including having their votes counted; and</w:t>
      </w:r>
    </w:p>
    <w:p>
      <w:pPr>
        <w:spacing w:before="0" w:after="0" w:line="408" w:lineRule="exact"/>
        <w:ind w:left="0" w:right="0" w:firstLine="576"/>
        <w:jc w:val="left"/>
      </w:pPr>
      <w:r>
        <w:rPr/>
        <w:t xml:space="preserve">(3) Ensuring that voters of race, color, and language minority groups have equitable access to fully participate in the electoral process in registering to vote and voting free from improper dilution or abridgement of voting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"Cohesive" means that members of a group tend to prefer the same candidates or other electoral choices.</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"Polarized voting" means voting in which there is a difference</w:t>
      </w:r>
      <w:r>
        <w:t>((</w:t>
      </w:r>
      <w:r>
        <w:rPr>
          <w:strike/>
        </w:rPr>
        <w:t xml:space="preserve">, as defined in case law regarding enforcement of the federal voting rights act, 52 U.S.C. 10301 et seq.,</w:t>
      </w:r>
      <w:r>
        <w:t>))</w:t>
      </w:r>
      <w:r>
        <w:rPr/>
        <w:t xml:space="preserve"> in the choice of candidates or other electoral choices that are preferred by voters in a protected class </w:t>
      </w:r>
      <w:r>
        <w:rPr>
          <w:u w:val="single"/>
        </w:rPr>
        <w:t xml:space="preserve">or a coalition of protected classes</w:t>
      </w:r>
      <w:r>
        <w:rPr/>
        <w:t xml:space="preserve">,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"Protected class" means a class of voters who are members of a race, color, or language minority group </w:t>
      </w:r>
      <w:r>
        <w:rPr>
          <w:u w:val="single"/>
        </w:rPr>
        <w:t xml:space="preserve">in the state of Washington</w:t>
      </w:r>
      <w:r>
        <w:rPr/>
        <w:t xml:space="preserve">, as this class is referenced and defined in the federal voting rights act, 52 U.S.C. 10301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is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w:t>
      </w:r>
      <w:r>
        <w:rPr>
          <w:u w:val="single"/>
        </w:rPr>
        <w:t xml:space="preserve">election results including, but not limited to,</w:t>
      </w:r>
      <w:r>
        <w:rPr/>
        <w:t xml:space="preserve"> elections of the governing body of the political subdivision, ballot measure elections, elections in which at least one candidate is a member of a protected class, and other electoral choices that affect the rights and privileges of members of a protected class. </w:t>
      </w:r>
      <w:r>
        <w:rPr>
          <w:u w:val="single"/>
        </w:rPr>
        <w:t xml:space="preserve">The court is not required to consider explanations, including partisanship, for why polarized voting under this chapter exists in the political subdivision to determine whether polarized voting under this chapter exists in the political subdivision.</w:t>
      </w:r>
      <w:r>
        <w:rPr/>
        <w:t xml:space="preserve">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w:t>
      </w:r>
    </w:p>
    <w:p>
      <w:pPr>
        <w:spacing w:before="0" w:after="0" w:line="408" w:lineRule="exact"/>
        <w:ind w:left="0" w:right="0" w:firstLine="576"/>
        <w:jc w:val="left"/>
      </w:pPr>
      <w:r>
        <w:rPr/>
        <w:t xml:space="preserve">(5) </w:t>
      </w:r>
      <w:r>
        <w:rPr>
          <w:u w:val="singl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(8) A class of people protected by this section may include a coalition of members of different racial, color, or language minority groups. A coalition of members of different protected classes is not required to demonstrate that each individual racial, color, or language minority group which comprises the coalition is cohesive, only that the coalition as a whole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w:t>
      </w:r>
      <w:r>
        <w:rPr>
          <w:u w:val="single"/>
        </w:rPr>
        <w:t xml:space="preserve">or increasing the number of elected officials on a county commission as authorized by section 12 of this act,</w:t>
      </w:r>
      <w:r>
        <w:rPr/>
        <w:t xml:space="preserve">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w:t>
      </w:r>
      <w:r>
        <w:rPr>
          <w:u w:val="single"/>
        </w:rPr>
        <w:t xml:space="preserve">, an organization whose roster of members and volunteers includes a voter who resides in the political subdivision, or a tribe located at least in part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coalition of members</w:t>
      </w:r>
      <w:r>
        <w:rPr/>
        <w:t xml:space="preserve"> of different protected classes may file an action jointly pursuant to this chapter if they demonstrate that the combined voting preferences of the multiple protected classes are polarized against the rest of the electorate. </w:t>
      </w:r>
      <w:r>
        <w:rPr>
          <w:u w:val="single"/>
        </w:rPr>
        <w:t xml:space="preserve">A coalition of members of different protected classes is not required to demonstrate that each individual racial, color, or language minority group which comprises the coalition is cohesive.</w:t>
      </w:r>
    </w:p>
    <w:p>
      <w:pPr>
        <w:spacing w:before="0" w:after="0" w:line="408" w:lineRule="exact"/>
        <w:ind w:left="0" w:right="0" w:firstLine="576"/>
        <w:jc w:val="left"/>
      </w:pPr>
      <w:r>
        <w:rPr>
          <w:u w:val="single"/>
        </w:rPr>
        <w:t xml:space="preserve">(3) Nothing in this section shall be interpreted to relieve a party of the requirement to establish standing as provided in Washington case law when commencing an action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rPr>
          <w:u w:val="single"/>
        </w:rPr>
        <w:t xml:space="preserve">or expansion of the number of elected county commissioners if authorized by section 12 of this act</w:t>
      </w:r>
      <w:r>
        <w:rPr/>
        <w:t xml:space="preserve">.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violates this chapter.</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violate this chapter.</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w:t>
      </w:r>
      <w:r>
        <w:rPr>
          <w:u w:val="single"/>
        </w:rPr>
        <w:t xml:space="preserve">, organization, or tribe</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w:t>
      </w:r>
      <w:r>
        <w:rPr>
          <w:u w:val="single"/>
        </w:rPr>
        <w:t xml:space="preserve">, organization's, or tribe's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organization, or tribe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organization, or tribe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w:t>
      </w:r>
      <w:r>
        <w:rPr>
          <w:u w:val="single"/>
        </w:rPr>
        <w:t xml:space="preserve">, organizations, or tribes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organizations, or tribes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organizations, or tribes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w:t>
      </w:r>
      <w:r>
        <w:t>((</w:t>
      </w:r>
      <w:r>
        <w:rPr>
          <w:strike/>
        </w:rPr>
        <w:t xml:space="preserve">The</w:t>
      </w:r>
      <w:r>
        <w:t>))</w:t>
      </w:r>
      <w:r>
        <w:rPr/>
        <w:t xml:space="preserve"> </w:t>
      </w:r>
      <w:r>
        <w:rPr>
          <w:u w:val="single"/>
        </w:rPr>
        <w:t xml:space="preserve">Except when authorized under section 12 of this act, the</w:t>
      </w:r>
      <w:r>
        <w:rPr/>
        <w:t xml:space="preserv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county may reasonably increase the number of elected commissioners to remedy a potential violation of RCW 29A.92.020 if the protected class or one of the protected classes subject to alleged vote dilution is Indian tribal status.</w:t>
      </w:r>
    </w:p>
    <w:p>
      <w:pPr>
        <w:spacing w:before="0" w:after="0" w:line="408" w:lineRule="exact"/>
        <w:ind w:left="0" w:right="0" w:firstLine="576"/>
        <w:jc w:val="left"/>
      </w:pPr>
      <w:r>
        <w:rPr/>
        <w:t xml:space="preserve">(2) After finding a violation of RCW 29A.92.020 or upon stipulation of the parties, the court may order a reasonable increase in the number of elected officials on a county commission if the defendant political subdivision is a county and the protected class or one of the protected classes subject to alleged vote dilution is Indian tribal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2023.</w:t>
      </w:r>
    </w:p>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252362f7da9b43a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10d845b3d4a8e" /><Relationship Type="http://schemas.openxmlformats.org/officeDocument/2006/relationships/footer" Target="/word/footer1.xml" Id="R252362f7da9b43a5" /></Relationships>
</file>