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ece847c9f142e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1058</w:t>
      </w:r>
    </w:p>
    <w:p>
      <w:pPr>
        <w:jc w:val="center"/>
        <w:spacing w:before="480" w:after="0" w:line="240"/>
      </w:pPr>
      <w:r>
        <w:t xml:space="preserve">Chapter </w:t>
      </w:r>
      <w:r>
        <w:rPr/>
        <w:t xml:space="preserve">57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COMMERCIAL DRIVER'S LICENSES—APPLICATIONS</w:t>
      </w:r>
    </w:p>
    <w:p>
      <w:pPr>
        <w:spacing w:before="720" w:after="240" w:line="240" w:lineRule="exact"/>
        <w:ind w:left="0" w:right="0" w:firstLine="0"/>
        <w:jc w:val="center"/>
      </w:pPr>
      <w:r>
        <w:t xml:space="preserve">EFFECTIVE DATE: </w:t>
      </w:r>
      <w:r>
        <w:rPr/>
        <w:t xml:space="preserve">January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1058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13, 2023 9:15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13,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1058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Paul, Orcutt, Simmons, Ryu, Reed, Ramel, Lekanoff, Sandlin, Macri, Timmons, Wylie, Shavers, Kloba, and Ormsby; by request of Department of Licensing</w:t>
      </w:r>
    </w:p>
    <w:p/>
    <w:p>
      <w:r>
        <w:rPr>
          <w:t xml:space="preserve">Prefiled 12/20/22.</w:t>
        </w:rPr>
      </w:r>
      <w:r>
        <w:rPr>
          <w:t xml:space="preserve">Read first time 01/09/23.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the licensing process for a commercial driver's license by allowing the department to waive requirements for applicants that previously surrendered the license, allowing the license to be renewed online, and modifying the license test fees; amending RCW 46.25.088 and 46.25.060;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088</w:t>
      </w:r>
      <w:r>
        <w:rPr/>
        <w:t xml:space="preserve"> and 2013 c 224 s 11 are each amended to read as follows:</w:t>
      </w:r>
    </w:p>
    <w:p>
      <w:pPr>
        <w:spacing w:before="0" w:after="0" w:line="408" w:lineRule="exact"/>
        <w:ind w:left="0" w:right="0" w:firstLine="576"/>
        <w:jc w:val="left"/>
      </w:pPr>
      <w:r>
        <w:rPr/>
        <w:t xml:space="preserve">(1) A CDL expires in the same manner as provided in RCW 46.20.181.</w:t>
      </w:r>
    </w:p>
    <w:p>
      <w:pPr>
        <w:spacing w:before="0" w:after="0" w:line="408" w:lineRule="exact"/>
        <w:ind w:left="0" w:right="0" w:firstLine="576"/>
        <w:jc w:val="left"/>
      </w:pPr>
      <w:r>
        <w:rPr/>
        <w:t xml:space="preserve">(2) When applying for renewal of a CDL, the applicant must:</w:t>
      </w:r>
    </w:p>
    <w:p>
      <w:pPr>
        <w:spacing w:before="0" w:after="0" w:line="408" w:lineRule="exact"/>
        <w:ind w:left="0" w:right="0" w:firstLine="576"/>
        <w:jc w:val="left"/>
      </w:pPr>
      <w:r>
        <w:rPr/>
        <w:t xml:space="preserve">(a) Complete the application form required under RCW 46.25.070(1), providing updated information and required certifications, and meet all the requirements of RCW 46.25.070 and 49 C.F.R. Sec. 383.71; </w:t>
      </w:r>
      <w:r>
        <w:rPr>
          <w:u w:val="single"/>
        </w:rPr>
        <w:t xml:space="preserve">and</w:t>
      </w:r>
    </w:p>
    <w:p>
      <w:pPr>
        <w:spacing w:before="0" w:after="0" w:line="408" w:lineRule="exact"/>
        <w:ind w:left="0" w:right="0" w:firstLine="576"/>
        <w:jc w:val="left"/>
      </w:pPr>
      <w:r>
        <w:rPr/>
        <w:t xml:space="preserve">(b) </w:t>
      </w:r>
      <w:r>
        <w:t>((</w:t>
      </w:r>
      <w:r>
        <w:rPr>
          <w:strike/>
        </w:rPr>
        <w:t xml:space="preserve">Submit the application to the department in person; and</w:t>
      </w:r>
    </w:p>
    <w:p>
      <w:pPr>
        <w:spacing w:before="0" w:after="0" w:line="408" w:lineRule="exact"/>
        <w:ind w:left="0" w:right="0" w:firstLine="576"/>
        <w:jc w:val="left"/>
      </w:pPr>
      <w:r>
        <w:rPr>
          <w:strike/>
        </w:rPr>
        <w:t xml:space="preserve">(c)</w:t>
      </w:r>
      <w:r>
        <w:t>))</w:t>
      </w:r>
      <w:r>
        <w:rPr/>
        <w:t xml:space="preserve"> If the applicant wishes to retain a hazardous materials endorsement, take and pass the written test for a hazardous materials endorsement.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2021 c 317 s 23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w:t>
      </w:r>
      <w:r>
        <w:t>((</w:t>
      </w:r>
      <w:r>
        <w:rPr>
          <w:strike/>
        </w:rPr>
        <w:t xml:space="preserve">fourteen</w:t>
      </w:r>
      <w:r>
        <w:t>))</w:t>
      </w:r>
      <w:r>
        <w:rPr/>
        <w:t xml:space="preserve"> </w:t>
      </w:r>
      <w:r>
        <w:rPr>
          <w:u w:val="single"/>
        </w:rPr>
        <w:t xml:space="preserve">14</w:t>
      </w:r>
      <w:r>
        <w:rPr/>
        <w:t xml:space="preserve">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w:t>
      </w:r>
      <w:r>
        <w:t>((</w:t>
      </w:r>
      <w:r>
        <w:rPr>
          <w:strike/>
        </w:rPr>
        <w:t xml:space="preserve">ten dollars</w:t>
      </w:r>
      <w:r>
        <w:t>))</w:t>
      </w:r>
      <w:r>
        <w:rPr/>
        <w:t xml:space="preserve"> </w:t>
      </w:r>
      <w:r>
        <w:rPr>
          <w:u w:val="single"/>
        </w:rPr>
        <w:t xml:space="preserve">$10</w:t>
      </w:r>
      <w:r>
        <w:rPr/>
        <w:t xml:space="preserve"> until June 30, 2016, and </w:t>
      </w:r>
      <w:r>
        <w:t>((</w:t>
      </w:r>
      <w:r>
        <w:rPr>
          <w:strike/>
        </w:rPr>
        <w:t xml:space="preserve">thirty-five dollars</w:t>
      </w:r>
      <w:r>
        <w:t>))</w:t>
      </w:r>
      <w:r>
        <w:rPr/>
        <w:t xml:space="preserve"> </w:t>
      </w:r>
      <w:r>
        <w:rPr>
          <w:u w:val="single"/>
        </w:rPr>
        <w:t xml:space="preserve">$35</w:t>
      </w:r>
      <w:r>
        <w:rPr/>
        <w:t xml:space="preserve"> beginning July 1, 2016, for the classified knowledge examination, classified endorsement knowledge examination, or any combination of classified license and endorsement knowledge examinations. </w:t>
      </w:r>
      <w:r>
        <w:t>((</w:t>
      </w:r>
      <w:r>
        <w:rPr>
          <w:strike/>
        </w:rPr>
        <w:t xml:space="preserve">The</w:t>
      </w:r>
      <w:r>
        <w:t>))</w:t>
      </w:r>
      <w:r>
        <w:rPr/>
        <w:t xml:space="preserve"> </w:t>
      </w:r>
      <w:r>
        <w:rPr>
          <w:u w:val="single"/>
        </w:rPr>
        <w:t xml:space="preserve">Before January 1, 2024, the</w:t>
      </w:r>
      <w:r>
        <w:rPr/>
        <w:t xml:space="preserve"> applicant shall pay a fee of no more than </w:t>
      </w:r>
      <w:r>
        <w:t>((</w:t>
      </w:r>
      <w:r>
        <w:rPr>
          <w:strike/>
        </w:rPr>
        <w:t xml:space="preserve">one hundred dollars until June 30, 2016, and two hundred fifty dollars beginning July 1, 2016, for each</w:t>
      </w:r>
      <w:r>
        <w:t>))</w:t>
      </w:r>
      <w:r>
        <w:rPr/>
        <w:t xml:space="preserve"> </w:t>
      </w:r>
      <w:r>
        <w:rPr>
          <w:u w:val="single"/>
        </w:rPr>
        <w:t xml:space="preserve">$250 for up to two</w:t>
      </w:r>
      <w:r>
        <w:rPr/>
        <w:t xml:space="preserve"> classified skill </w:t>
      </w:r>
      <w:r>
        <w:t>((</w:t>
      </w:r>
      <w:r>
        <w:rPr>
          <w:strike/>
        </w:rPr>
        <w:t xml:space="preserve">examination</w:t>
      </w:r>
      <w:r>
        <w:t>))</w:t>
      </w:r>
      <w:r>
        <w:rPr/>
        <w:t xml:space="preserve"> </w:t>
      </w:r>
      <w:r>
        <w:rPr>
          <w:u w:val="single"/>
        </w:rPr>
        <w:t xml:space="preserve">examinations</w:t>
      </w:r>
      <w:r>
        <w:rPr/>
        <w:t xml:space="preserve"> or combination of classified skill examinations conducted by the department. </w:t>
      </w:r>
      <w:r>
        <w:rPr>
          <w:u w:val="single"/>
        </w:rPr>
        <w:t xml:space="preserve">Beginning January 1, 2024, the applicant shall pay a fee of no more than $175 for each examination.</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w:t>
      </w:r>
      <w:r>
        <w:t>((</w:t>
      </w:r>
      <w:r>
        <w:rPr>
          <w:strike/>
        </w:rPr>
        <w:t xml:space="preserve">If the applicant's primary use of a commercial driver's license is for any of the following, then the applicant shall pay a fee of no more than seventy-five dollars until June 30, 2016, and two hundred twenty-five dollars beginning July 1, 2016, for the classified skill examination or combination of classified skill examinations whether conducted by the department or a third-party tester:</w:t>
      </w:r>
    </w:p>
    <w:p>
      <w:pPr>
        <w:spacing w:before="0" w:after="0" w:line="408" w:lineRule="exact"/>
        <w:ind w:left="0" w:right="0" w:firstLine="576"/>
        <w:jc w:val="left"/>
      </w:pPr>
      <w:r>
        <w:rPr>
          <w:strike/>
        </w:rPr>
        <w:t xml:space="preserve">(i) Public benefit not-for-profit corporations that are federally supported head start programs; or</w:t>
      </w:r>
    </w:p>
    <w:p>
      <w:pPr>
        <w:spacing w:before="0" w:after="0" w:line="408" w:lineRule="exact"/>
        <w:ind w:left="0" w:right="0" w:firstLine="576"/>
        <w:jc w:val="left"/>
      </w:pPr>
      <w:r>
        <w:rPr>
          <w:strike/>
        </w:rPr>
        <w:t xml:space="preserve">(ii) Public benefit not-for-profit corporations that support early childhood education and assistance programs as described in RCW 43.216.505.</w:t>
      </w:r>
    </w:p>
    <w:p>
      <w:pPr>
        <w:spacing w:before="0" w:after="0" w:line="408" w:lineRule="exact"/>
        <w:ind w:left="0" w:right="0" w:firstLine="576"/>
        <w:jc w:val="left"/>
      </w:pPr>
      <w:r>
        <w:rPr>
          <w:strike/>
        </w:rPr>
        <w:t xml:space="preserve">(e)</w:t>
      </w:r>
      <w:r>
        <w:t>))</w:t>
      </w:r>
      <w:r>
        <w:rPr/>
        <w:t xml:space="preserve"> Beginning July 1, 2016, if the applicant's primary use of a commercial driver's license is to drive a school bus, the applicant shall pay a fee of no more than </w:t>
      </w:r>
      <w:r>
        <w:t>((</w:t>
      </w:r>
      <w:r>
        <w:rPr>
          <w:strike/>
        </w:rPr>
        <w:t xml:space="preserve">one hundred dollars</w:t>
      </w:r>
      <w:r>
        <w:t>))</w:t>
      </w:r>
      <w:r>
        <w:rPr/>
        <w:t xml:space="preserve"> </w:t>
      </w:r>
      <w:r>
        <w:rPr>
          <w:u w:val="single"/>
        </w:rPr>
        <w:t xml:space="preserve">$100</w:t>
      </w:r>
      <w:r>
        <w:rPr/>
        <w:t xml:space="preserve"> for the classified skill examination or combination of classified skill examinations conducted by the department.</w:t>
      </w:r>
    </w:p>
    <w:p>
      <w:pPr>
        <w:spacing w:before="0" w:after="0" w:line="408" w:lineRule="exact"/>
        <w:ind w:left="0" w:right="0" w:firstLine="576"/>
        <w:jc w:val="left"/>
      </w:pPr>
      <w:r>
        <w:t>((</w:t>
      </w:r>
      <w:r>
        <w:rPr>
          <w:strike/>
        </w:rPr>
        <w:t xml:space="preserve">(f) Beginning July 1, 2016, payment of the examination fees under this subsection</w:t>
      </w:r>
      <w:r>
        <w:t>))</w:t>
      </w:r>
      <w:r>
        <w:rPr/>
        <w:t xml:space="preserve"> </w:t>
      </w:r>
      <w:r>
        <w:rPr>
          <w:u w:val="single"/>
        </w:rPr>
        <w:t xml:space="preserve">(e) Before January 1, 2024, payment of the classified skill examination fee only entitles an applicant to take the classified skill examination up to two times in order to pass. Beginning January 1, 2024, payment of the examination fee entitles an applicant to take a classified skill examination once, except a test taken under (d) of this subsection, which</w:t>
      </w:r>
      <w:r>
        <w:rPr/>
        <w:t xml:space="preserve"> entitles the applicant to take the </w:t>
      </w:r>
      <w:r>
        <w:rPr>
          <w:u w:val="single"/>
        </w:rPr>
        <w:t xml:space="preserve">classified skill</w:t>
      </w:r>
      <w:r>
        <w:rPr/>
        <w:t xml:space="preserve"> examination up to two times in order to pass.</w:t>
      </w:r>
    </w:p>
    <w:p>
      <w:pPr>
        <w:spacing w:before="0" w:after="0" w:line="408" w:lineRule="exact"/>
        <w:ind w:left="0" w:right="0" w:firstLine="576"/>
        <w:jc w:val="left"/>
      </w:pPr>
      <w:r>
        <w:rPr/>
        <w:t xml:space="preserve">(2)(a) </w:t>
      </w:r>
      <w:r>
        <w:rPr>
          <w:u w:val="single"/>
        </w:rPr>
        <w:t xml:space="preserve">The department may waive all or part of the commercial driver's license or commercial learner's permit qualification standards for applicants who previously have voluntarily surrendered a commercial driver's license.</w:t>
      </w:r>
    </w:p>
    <w:p>
      <w:pPr>
        <w:spacing w:before="0" w:after="0" w:line="408" w:lineRule="exact"/>
        <w:ind w:left="0" w:right="0" w:firstLine="576"/>
        <w:jc w:val="left"/>
      </w:pPr>
      <w:r>
        <w:rPr>
          <w:u w:val="single"/>
        </w:rPr>
        <w:t xml:space="preserve">(b)</w:t>
      </w:r>
      <w:r>
        <w:rPr/>
        <w:t xml:space="preserve"> The department may waive the skills examination and the requirement for completion of a course of instruction in the operation of a commercial motor vehicle specified in this section for a commercial driver's license applicant who meets the requirements of 49 C.F.R. Sec. 383.77. For current or former military service members that meet the requirements of 49 C.F.R. Sec. 383.77, the department may also waive the requirements for a knowledge test for commercial driver's license applicants. Beginning December 1, 2021, the department shall provide an annual report to the house and senate transportation committees and the joint committee on veterans' and military affairs of the legislature on the number and types of waivers granted pursuant to this subsection.</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w:t>
      </w:r>
      <w:r>
        <w:t>((</w:t>
      </w:r>
      <w:r>
        <w:rPr>
          <w:strike/>
        </w:rPr>
        <w:t xml:space="preserve">(b)</w:t>
      </w:r>
      <w:r>
        <w:t>))</w:t>
      </w:r>
      <w:r>
        <w:rPr/>
        <w:t xml:space="preserve"> </w:t>
      </w:r>
      <w:r>
        <w:rPr>
          <w:u w:val="single"/>
        </w:rPr>
        <w:t xml:space="preserve">(c)</w:t>
      </w:r>
      <w:r>
        <w:rPr/>
        <w:t xml:space="preserve">,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w:t>
      </w:r>
      <w:r>
        <w:t>((</w:t>
      </w:r>
      <w:r>
        <w:rPr>
          <w:strike/>
        </w:rPr>
        <w:t xml:space="preserve">(b)</w:t>
      </w:r>
      <w:r>
        <w:t>))</w:t>
      </w:r>
      <w:r>
        <w:rPr/>
        <w:t xml:space="preserve"> </w:t>
      </w:r>
      <w:r>
        <w:rPr>
          <w:u w:val="single"/>
        </w:rPr>
        <w:t xml:space="preserve">(c)</w:t>
      </w:r>
      <w:r>
        <w:rPr/>
        <w:t xml:space="preserve">(i)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w:t>
      </w:r>
      <w:r>
        <w:t>((</w:t>
      </w:r>
      <w:r>
        <w:rPr>
          <w:strike/>
        </w:rPr>
        <w:t xml:space="preserve">(b)</w:t>
      </w:r>
      <w:r>
        <w:t>))</w:t>
      </w:r>
      <w:r>
        <w:rPr/>
        <w:t xml:space="preserve"> </w:t>
      </w:r>
      <w:r>
        <w:rPr>
          <w:u w:val="single"/>
        </w:rPr>
        <w:t xml:space="preserve">(c)</w:t>
      </w:r>
      <w:r>
        <w:rPr/>
        <w:t xml:space="preserve">.</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t xml:space="preserve">(4) The fees under this section must be deposited into the highway safety fund unless prior to July 1, 2023, the actions described in (a) or (b) of this subsection occur, in which case the portion of the revenue that is the result of the fee increased in section 207,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absent explicit legislative authorization enacted subsequent to July 1, 2015,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 without explicit legislative authorization enacted subsequent to July 1, 2015.</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2023.</w:t>
      </w:r>
    </w:p>
    <w:p>
      <w:pPr>
        <w:spacing w:before="0" w:after="0" w:line="408" w:lineRule="exact"/>
        <w:ind w:left="0" w:right="0" w:firstLine="576"/>
        <w:jc w:val="left"/>
      </w:pPr>
      <w:r>
        <w:rPr/>
        <w:t xml:space="preserve">Passed by the Senate March 29, 2023.</w:t>
      </w:r>
    </w:p>
    <w:p>
      <w:pPr>
        <w:spacing w:before="0" w:after="0" w:line="408" w:lineRule="exact"/>
        <w:ind w:left="0" w:right="0" w:firstLine="576"/>
        <w:jc w:val="left"/>
      </w:pPr>
      <w:r>
        <w:rPr/>
        <w:t xml:space="preserve">Approved by the Governor April 13, 2023.</w:t>
      </w:r>
    </w:p>
    <w:p>
      <w:pPr>
        <w:spacing w:before="0" w:after="0" w:line="408" w:lineRule="exact"/>
        <w:ind w:left="0" w:right="0" w:firstLine="576"/>
        <w:jc w:val="left"/>
      </w:pPr>
      <w:r>
        <w:rPr/>
        <w:t xml:space="preserve">Filed in Office of Secretary of State April 13, 2023.</w:t>
      </w:r>
    </w:p>
    <w:sectPr>
      <w:pgNumType w:start="1"/>
      <w:footerReference xmlns:r="http://schemas.openxmlformats.org/officeDocument/2006/relationships" r:id="R595338799e1e459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e4a05844544674" /><Relationship Type="http://schemas.openxmlformats.org/officeDocument/2006/relationships/footer" Target="/word/footer1.xml" Id="R595338799e1e4594" /></Relationships>
</file>