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250e555c44619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1101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23</w:t>
      </w:r>
      <w:r>
        <w:t xml:space="preserve">, Laws of 2023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2023 Regular Session</w:t>
      </w:r>
    </w:p>
    <w:p>
      <w:pPr>
        <w:jc w:val="center"/>
        <w:spacing w:before="480" w:after="0" w:line="240"/>
      </w:pPr>
      <w:r>
        <w:rPr/>
        <w:t xml:space="preserve">COMMON INTEREST COMMUNITIES—TENANT SCREENING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July 23, 2023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January 26,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95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22,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1101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April 6, 2023 9:15 AM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April 6, 2023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1101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House Housing (originally sponsored by Representatives Taylor, Bergquist, Ramel, and Gregerson)</w:t>
      </w:r>
    </w:p>
    <w:p/>
    <w:p>
      <w:r>
        <w:rPr>
          <w:t xml:space="preserve">READ FIRST TIME 01/23/23.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tenant screening in common interest communities; adding a new section to chapter 64.32 RCW; adding a new section to chapter 64.34 RCW; adding a new section to chapter 64.38 RCW; and adding a new section to chapter 64.90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64</w:t>
      </w:r>
      <w:r>
        <w:rPr/>
        <w:t xml:space="preserve">.</w:t>
      </w:r>
      <w:r>
        <w:t xml:space="preserve">32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otherwise prohibited by law, and subject to the limitations in subsection (2) of this section, an association of apartment owners may: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Require any apartment owner intending to lease the owner's apartment to use a tenant screening service or obtain background information, including criminal history, on a prospective tenant, at the owner's sole cost and expense, prior to the owner entering into a lease agreement with a prospective tenant;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Require proof that the tenant screening requirement has been fulfilled or that the background information on a prospective tenant has been obtained by the owner intending to lease the owner's apartment.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 association may not require that a copy of the tenant screening report or any background information pertaining to a tenant be furnished to the association.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64</w:t>
      </w:r>
      <w:r>
        <w:rPr/>
        <w:t xml:space="preserve">.</w:t>
      </w:r>
      <w:r>
        <w:t xml:space="preserve">34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otherwise prohibited by law, and subject to the limitations in subsection (2) of this section, a unit owners' association may: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Require any unit owner intending to lease the owner's unit to use a tenant screening service or obtain background information, including criminal history, on a prospective tenant, at the owner's sole cost and expense, prior to the owner entering into a lease agreement with a prospective tenant;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Require proof that the tenant screening requirement has been fulfilled or that the background information on a prospective tenant has been obtained by the owner intending to lease the owner's unit.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 association may not require that a copy of the tenant screening report or any background information pertaining to a tenant be furnished to the association.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64</w:t>
      </w:r>
      <w:r>
        <w:rPr/>
        <w:t xml:space="preserve">.</w:t>
      </w:r>
      <w:r>
        <w:t xml:space="preserve">38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otherwise prohibited by law, and subject to the limitations in subsection (2) of this section, a homeowners' association may: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Require any lot owner intending to lease the owner's lot to use a tenant screening service or obtain background information, including criminal history, on a prospective tenant, at the owner's sole cost and expense, prior to the owner entering into a lease agreement with a prospective tenant;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Require proof that the tenant screening requirement has been fulfilled or that the background information on a prospective tenant has been obtained by the owner intending to lease the owner's lot.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 association may not require that a copy of the tenant screening report or any background information pertaining to a tenant be furnished to the association.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64</w:t>
      </w:r>
      <w:r>
        <w:rPr/>
        <w:t xml:space="preserve">.</w:t>
      </w:r>
      <w:r>
        <w:t xml:space="preserve">90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otherwise prohibited by law, and subject to the limitations in subsection (2) of this section, a unit owners association may: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Require any unit owner intending to lease the owner's unit to use a tenant screening service or obtain background information, including criminal history, on a prospective tenant, at the owner's sole cost and expense, prior to the owner entering into a lease agreement with a prospective tenant;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Require proof that the tenant screening requirement has been fulfilled or that the background information on a prospective tenant has been obtained by the owner intending to lease the owner's unit.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 association may not require that a copy of the tenant screening report or any background information pertaining to a tenant be furnished to the association.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January 26,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March 22,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April 6,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April 6, 2023.</w:t>
      </w:r>
    </w:p>
    <w:sectPr>
      <w:pgNumType w:start="1"/>
      <w:footerReference xmlns:r="http://schemas.openxmlformats.org/officeDocument/2006/relationships" r:id="R69da8158d06344d4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1101.SL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477bc04fa4c74" /><Relationship Type="http://schemas.openxmlformats.org/officeDocument/2006/relationships/footer" Target="/word/footer1.xml" Id="R69da8158d06344d4" /></Relationships>
</file>