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d4c4693a2d4a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1105</w:t>
      </w:r>
    </w:p>
    <w:p>
      <w:pPr>
        <w:jc w:val="center"/>
        <w:spacing w:before="480" w:after="0" w:line="240"/>
      </w:pPr>
      <w:r>
        <w:t xml:space="preserve">Chapter </w:t>
      </w:r>
      <w:r>
        <w:rPr/>
        <w:t xml:space="preserve">171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NOTICE OF PUBLIC COMMENT PERIODS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2024</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1105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House State Government &amp; Tribal Relations (originally sponsored by Representatives Kloba, Abbarno, and Thai)</w:t>
      </w:r>
    </w:p>
    <w:p/>
    <w:p>
      <w:r>
        <w:rPr>
          <w:t xml:space="preserve">READ FIRST TIME 02/02/23.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public agencies to provide notice for public comment that includes the first and last date and time by which such public comment must be submitted; and adding a new section to chapter 42.30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 public agency that is required by state law to solicit public comment for a statutorily specified period of time, and is required by state law to provide notice that it is soliciting public comment, must specify the first and last date and time by which written public comment may be submitted.</w:t>
      </w:r>
    </w:p>
    <w:p>
      <w:pPr>
        <w:spacing w:before="0" w:after="0" w:line="408" w:lineRule="exact"/>
        <w:ind w:left="0" w:right="0" w:firstLine="576"/>
        <w:jc w:val="left"/>
      </w:pPr>
      <w:r>
        <w:rPr/>
        <w:t xml:space="preserve">(2) An agency that provides a notice that violates this section is subject to the same fines under the same procedures as other violations of this chapter are subject to under RCW 42.30.120.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2024.</w:t>
      </w:r>
    </w:p>
    <w:p>
      <w:pPr>
        <w:spacing w:before="0" w:after="0" w:line="408" w:lineRule="exact"/>
        <w:ind w:left="0" w:right="0" w:firstLine="576"/>
        <w:jc w:val="left"/>
      </w:pPr>
      <w:r>
        <w:rPr/>
        <w:t xml:space="preserve">Passed by the Senate February 28,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4b56213ba8384af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5e47345b83487f" /><Relationship Type="http://schemas.openxmlformats.org/officeDocument/2006/relationships/footer" Target="/word/footer1.xml" Id="R4b56213ba8384af0" /></Relationships>
</file>