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aaab785ab341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1221</w:t>
      </w:r>
    </w:p>
    <w:p>
      <w:pPr>
        <w:jc w:val="center"/>
        <w:spacing w:before="480" w:after="0" w:line="240"/>
      </w:pPr>
      <w:r>
        <w:t xml:space="preserve">Chapter </w:t>
      </w:r>
      <w:r>
        <w:rPr/>
        <w:t xml:space="preserve">346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LOTTERY PLAYERS—PUBLIC RECORDS ACT EXEMPTION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1221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10:43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1221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Stearns, Kloba, Ramel, Goodman, and Morgan; by request of Lottery Commission</w:t>
      </w:r>
    </w:p>
    <w:p/>
    <w:p>
      <w:r>
        <w:rPr>
          <w:t xml:space="preserve">Read first time 01/10/23.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privacy of lottery players;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2021 c 89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 or</w:t>
      </w:r>
    </w:p>
    <w:p>
      <w:pPr>
        <w:spacing w:before="0" w:after="0" w:line="408" w:lineRule="exact"/>
        <w:ind w:left="0" w:right="0" w:firstLine="576"/>
        <w:jc w:val="left"/>
      </w:pPr>
      <w:r>
        <w:rPr/>
        <w:t xml:space="preserve">(iv)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(c) of this subsection (7) and this subsection (7)(d) that is subject to public disclosure;</w:t>
      </w:r>
    </w:p>
    <w:p>
      <w:pPr>
        <w:spacing w:before="0" w:after="0" w:line="408" w:lineRule="exact"/>
        <w:ind w:left="0" w:right="0" w:firstLine="576"/>
        <w:jc w:val="left"/>
      </w:pPr>
      <w:r>
        <w:rPr/>
        <w:t xml:space="preserve">(8) All information related to individual claim resolution settlement agreements submitted to the board of industrial insurance appeals under RCW 51.04.063, other than final orders from the board of industrial insurance appeals. The board of industrial insurance appeals shall provide to the department of labor and industries copies of all final claim resolution settlement agreements;</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w:t>
      </w:r>
      <w:r>
        <w:t>((</w:t>
      </w:r>
      <w:r>
        <w:rPr>
          <w:strike/>
        </w:rPr>
        <w:t xml:space="preserve">and</w:t>
      </w:r>
      <w:r>
        <w:t>))</w:t>
      </w:r>
    </w:p>
    <w:p>
      <w:pPr>
        <w:spacing w:before="0" w:after="0" w:line="408" w:lineRule="exact"/>
        <w:ind w:left="0" w:right="0" w:firstLine="576"/>
        <w:jc w:val="left"/>
      </w:pPr>
      <w:r>
        <w:rPr/>
        <w:t xml:space="preserve">(12) Names, addresses, or other personal information of individuals who participated in the bump-fire stock buy-back program under RCW 43.43.920</w:t>
      </w:r>
      <w:r>
        <w:rPr>
          <w:u w:val="single"/>
        </w:rPr>
        <w:t xml:space="preserve">; and</w:t>
      </w:r>
    </w:p>
    <w:p>
      <w:pPr>
        <w:spacing w:before="0" w:after="0" w:line="408" w:lineRule="exact"/>
        <w:ind w:left="0" w:right="0" w:firstLine="576"/>
        <w:jc w:val="left"/>
      </w:pPr>
      <w:r>
        <w:rPr>
          <w:u w:val="single"/>
        </w:rPr>
        <w:t xml:space="preserve">(13)  All personal and financial information concerning a player that is received or maintained by the state lottery or any contracted lottery vendor except the player's name and city or town of residence. Additional information may be released only in accordance with prior written permission from the player</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ee352d7b13e5435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6333cd6f61417a" /><Relationship Type="http://schemas.openxmlformats.org/officeDocument/2006/relationships/footer" Target="/word/footer1.xml" Id="Ree352d7b13e54357" /></Relationships>
</file>