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a644c68ec549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1635</w:t>
      </w:r>
    </w:p>
    <w:p>
      <w:pPr>
        <w:jc w:val="center"/>
        <w:spacing w:before="480" w:after="0" w:line="240"/>
      </w:pPr>
      <w:r>
        <w:t xml:space="preserve">Chapter </w:t>
      </w:r>
      <w:r>
        <w:rPr/>
        <w:t xml:space="preserve">305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POLICE DOGS—FENTANYL DETECTION TRAINING AND CIVIL LIABILITY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1635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2:01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1635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Mosbrucker, Walsh, and Eslick</w:t>
      </w:r>
    </w:p>
    <w:p/>
    <w:p>
      <w:r>
        <w:rPr>
          <w:t xml:space="preserve">Read first time 01/27/23.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arising from the use of trained police dogs; amending RCW 4.24.410; and adding a new section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By July 1, 2025, the commission shall develop model standards for the training and certification of canine teams to detect fentanyl. When developing the model standards, the commission shall consult with:</w:t>
      </w:r>
    </w:p>
    <w:p>
      <w:pPr>
        <w:spacing w:before="0" w:after="0" w:line="408" w:lineRule="exact"/>
        <w:ind w:left="0" w:right="0" w:firstLine="576"/>
        <w:jc w:val="left"/>
      </w:pPr>
      <w:r>
        <w:rPr/>
        <w:t xml:space="preserve">(1) Experts including public and private organizations that train canines to imprint on controlled substances;</w:t>
      </w:r>
    </w:p>
    <w:p>
      <w:pPr>
        <w:spacing w:before="0" w:after="0" w:line="408" w:lineRule="exact"/>
        <w:ind w:left="0" w:right="0" w:firstLine="576"/>
        <w:jc w:val="left"/>
      </w:pPr>
      <w:r>
        <w:rPr/>
        <w:t xml:space="preserve">(2) Law enforcement or correctional agencies that use canines to detect controlled substances;</w:t>
      </w:r>
    </w:p>
    <w:p>
      <w:pPr>
        <w:spacing w:before="0" w:after="0" w:line="408" w:lineRule="exact"/>
        <w:ind w:left="0" w:right="0" w:firstLine="576"/>
        <w:jc w:val="left"/>
      </w:pPr>
      <w:r>
        <w:rPr/>
        <w:t xml:space="preserve">(3) Experts on the training of canines for use by law enforcement; and</w:t>
      </w:r>
    </w:p>
    <w:p>
      <w:pPr>
        <w:spacing w:before="0" w:after="0" w:line="408" w:lineRule="exact"/>
        <w:ind w:left="0" w:right="0" w:firstLine="576"/>
        <w:jc w:val="left"/>
      </w:pPr>
      <w:r>
        <w:rPr/>
        <w:t xml:space="preserve">(4) Licensed medical professionals and veterinarians, to the extent reasonably available, with expertise in: (a) Developing and implementing protocols to minimize exposure of canines and their handlers to opioids and their derivatives, including fentanyl and its derivatives; (b) detecting clinical signs of such exposure; and (c) intervening with timely and appropriate medical and veterinary medical treatment in the field, during stabilization and transport, and in-hospital following exposure to opioids and their derivatives, including fentanyl and its derivatives.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410</w:t>
      </w:r>
      <w:r>
        <w:rPr/>
        <w:t xml:space="preserve"> and 1993 c 180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"Police dog" means a dog used by a law enforcement agency specially trained for law enforcement work and under the control of a dog handler.</w:t>
      </w:r>
    </w:p>
    <w:p>
      <w:pPr>
        <w:spacing w:before="0" w:after="0" w:line="408" w:lineRule="exact"/>
        <w:ind w:left="0" w:right="0" w:firstLine="576"/>
        <w:jc w:val="left"/>
      </w:pPr>
      <w:r>
        <w:rPr/>
        <w:t xml:space="preserve">(b) "Accelerant detection dog" means a dog used exclusively for accelerant detection by the state fire marshal or a fire department and under the control of the state fire marshal or his or her designee or a fire department handler.</w:t>
      </w:r>
    </w:p>
    <w:p>
      <w:pPr>
        <w:spacing w:before="0" w:after="0" w:line="408" w:lineRule="exact"/>
        <w:ind w:left="0" w:right="0" w:firstLine="576"/>
        <w:jc w:val="left"/>
      </w:pPr>
      <w:r>
        <w:rPr/>
        <w:t xml:space="preserve">(c) "Dog handler" means a law enforcement officer who has successfully completed training as prescribed by the Washington state criminal justice training commission in police dog handling, or in the case of an accelerant detection dog, the state fire marshal's designee or an employee of the fire department authorized by the fire chief to be the dog's handler.</w:t>
      </w:r>
    </w:p>
    <w:p>
      <w:pPr>
        <w:spacing w:before="0" w:after="0" w:line="408" w:lineRule="exact"/>
        <w:ind w:left="0" w:right="0" w:firstLine="576"/>
        <w:jc w:val="left"/>
      </w:pPr>
      <w:r>
        <w:rPr>
          <w:u w:val="single"/>
        </w:rPr>
        <w:t xml:space="preserve">(d) "Lawful application of a police dog" means employment or specific use of a police dog as allowed by law.</w:t>
      </w:r>
    </w:p>
    <w:p>
      <w:pPr>
        <w:spacing w:before="0" w:after="0" w:line="408" w:lineRule="exact"/>
        <w:ind w:left="0" w:right="0" w:firstLine="576"/>
        <w:jc w:val="left"/>
      </w:pPr>
      <w:r>
        <w:rPr/>
        <w:t xml:space="preserve">(2) Any dog handler who uses a police dog in the line of duty in good faith is immune from civil action for damages arising out of such use of the police dog or accelerant detection dog.</w:t>
      </w:r>
    </w:p>
    <w:p>
      <w:pPr>
        <w:spacing w:before="0" w:after="0" w:line="408" w:lineRule="exact"/>
        <w:ind w:left="0" w:right="0" w:firstLine="576"/>
        <w:jc w:val="left"/>
      </w:pPr>
      <w:r>
        <w:rPr>
          <w:u w:val="single"/>
        </w:rPr>
        <w:t xml:space="preserve">(3) A state or local government or law enforcement agency is not strictly liable for damages resulting from the lawful application of a police dog.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89ffb0173141446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9e044f5b064a8e" /><Relationship Type="http://schemas.openxmlformats.org/officeDocument/2006/relationships/footer" Target="/word/footer1.xml" Id="R89ffb01731414465" /></Relationships>
</file>