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e3f651393e42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2021</w:t>
      </w:r>
    </w:p>
    <w:p>
      <w:pPr>
        <w:jc w:val="center"/>
        <w:spacing w:before="480" w:after="0" w:line="240"/>
      </w:pPr>
      <w:r>
        <w:t xml:space="preserve">Chapter </w:t>
      </w:r>
      <w:r>
        <w:rPr/>
        <w:t xml:space="preserve">287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DISPOSITION OF FIREARMS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68</w:t>
            </w:r>
            <w:r>
              <w:t xml:space="preserve">  Nays </w:t>
              <w:t xml:space="preserve">29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31</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1:24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2021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Senn, Walen, Berry, Fitzgibbon, Ryu, Duerr, Ramel, Reed, Ormsby, Peterson, Callan, Macri, Gregerson, Farivar, Alvarado, Lekanoff, Doglio, Riccelli, Reeves, Wylie, Santos, Hackney, and Pollet)</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privately owned firearms in the custody of state or local government entities or law enforcement agencies; and amending RCW 9.41.098.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 </w:t>
      </w:r>
      <w:r>
        <w:rPr>
          <w:u w:val="single"/>
        </w:rPr>
        <w:t xml:space="preserve">or to museums or historical societies</w:t>
      </w:r>
      <w:r>
        <w:rPr/>
        <w:t xml:space="preserve">. </w:t>
      </w:r>
      <w:r>
        <w:rPr>
          <w:u w:val="single"/>
        </w:rPr>
        <w:t xml:space="preserve">For the purposes of this subsection (2)(c), "museum or historical society" means the same as in RCW 63.26.010 and is designated as a nonprofit organization under section 501(c)(3) of the internal revenue code.</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 except as provided in (c) of this subsection</w:t>
      </w:r>
      <w:r>
        <w:rPr/>
        <w:t xml:space="preserve">. The Washington state patrol may retain any proceeds of an auction or trade.</w:t>
      </w:r>
    </w:p>
    <w:p>
      <w:pPr>
        <w:spacing w:before="0" w:after="0" w:line="408" w:lineRule="exact"/>
        <w:ind w:left="0" w:right="0" w:firstLine="576"/>
        <w:jc w:val="left"/>
      </w:pPr>
      <w:r>
        <w:rPr>
          <w:u w:val="single"/>
        </w:rPr>
        <w:t xml:space="preserve">(e)(i) Any firearms in the possession of a state or local government entity or law enforcement agency that are obtained through a firearm buy-back program conducted by the entity or agency must be destroyed except as provided in (e)(ii) or (c) of this subsection.</w:t>
      </w:r>
    </w:p>
    <w:p>
      <w:pPr>
        <w:spacing w:before="0" w:after="0" w:line="408" w:lineRule="exact"/>
        <w:ind w:left="0" w:right="0" w:firstLine="576"/>
        <w:jc w:val="left"/>
      </w:pPr>
      <w:r>
        <w:rPr>
          <w:u w:val="single"/>
        </w:rPr>
        <w:t xml:space="preserve">(ii) A state or local government entity or law enforcement agency conducting a firearm buy-back program shall establish procedures for: Returning relinquished firearms that are determined to be stolen to the rightful owners of the firearms; and determining whether any relinquished firearms have been used in the commission of a crime and retaining and storing such firearms until no longer needed for law enforcement investigation or evidence purposes.</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0" w:after="0" w:line="408" w:lineRule="exact"/>
        <w:ind w:left="0" w:right="0" w:firstLine="576"/>
        <w:jc w:val="left"/>
      </w:pPr>
      <w:r>
        <w:rPr>
          <w:u w:val="single"/>
        </w:rPr>
        <w:t xml:space="preserve">(5) For purposes of this section, "destroy" means the melting or shredding of all parts of a firearm that were attached to the firearm at the time the firearm came into the possession of the state or local government entity or law enforcement agency, including, but not limited to, the frame or receiver, barrel, bolt, and grip, as applicable, and any accessories or attachments including, but not limited to, any sight, scope, silencer, or suppressor, as applicable.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0faf73d56130459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37d9fff8a44665" /><Relationship Type="http://schemas.openxmlformats.org/officeDocument/2006/relationships/footer" Target="/word/footer1.xml" Id="R0faf73d56130459d" /></Relationships>
</file>