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b71428f0c4fbd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2137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68</w:t>
      </w:r>
      <w:r>
        <w:t xml:space="preserve">, Laws of 2024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2024 Regular Session</w:t>
      </w:r>
    </w:p>
    <w:p>
      <w:pPr>
        <w:jc w:val="center"/>
        <w:spacing w:before="480" w:after="0" w:line="240"/>
      </w:pPr>
      <w:r>
        <w:rPr/>
        <w:t xml:space="preserve">TOURISM PROMOTION AREA ASSESSMENTS—EXEMPTIONS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June 6, 2024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8,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27,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2137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13, 2024 2:13 PM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14, 2024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2137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Representatives Berg, Orcutt, Sandlin, Doglio, Dent, and Reeves</w:t>
      </w:r>
    </w:p>
    <w:p/>
    <w:p>
      <w:r>
        <w:rPr>
          <w:t xml:space="preserve">Prefiled 01/04/24.</w:t>
        </w:rPr>
      </w:r>
      <w:r>
        <w:rPr>
          <w:t xml:space="preserve">Read first time 01/08/24.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technical changes to allowable exemptions from charges for tourism promotion area assessments; amending RCW 35.101.055;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35</w:t>
      </w:r>
      <w:r>
        <w:rPr/>
        <w:t xml:space="preserve">.</w:t>
      </w:r>
      <w:r>
        <w:t xml:space="preserve">101</w:t>
      </w:r>
      <w:r>
        <w:rPr/>
        <w:t xml:space="preserve">.</w:t>
      </w:r>
      <w:r>
        <w:t xml:space="preserve">055</w:t>
      </w:r>
      <w:r>
        <w:rPr/>
        <w:t xml:space="preserve"> and 2008 c 137 s 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lodging charge authorized in RCW 35.101.050 does not apply to temporary medical housing exempt under RCW 82.08.997</w:t>
      </w:r>
      <w:r>
        <w:rPr>
          <w:u w:val="single"/>
        </w:rPr>
        <w:t xml:space="preserve">, or any lodging business, lodging unit, or lodging guest so designated by the legislative authority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applies to any tourism promotion area established before, on, or after the effective date of this section.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8,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27,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13,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14, 2024.</w:t>
      </w:r>
    </w:p>
    <w:sectPr>
      <w:pgNumType w:start="1"/>
      <w:footerReference xmlns:r="http://schemas.openxmlformats.org/officeDocument/2006/relationships" r:id="R466d609cfdee4983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2137.SL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7956f33d84531" /><Relationship Type="http://schemas.openxmlformats.org/officeDocument/2006/relationships/footer" Target="/word/footer1.xml" Id="R466d609cfdee4983" /></Relationships>
</file>