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b71a1929d4b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5081</w:t>
      </w:r>
    </w:p>
    <w:p>
      <w:pPr>
        <w:jc w:val="center"/>
        <w:spacing w:before="480" w:after="0" w:line="240"/>
      </w:pPr>
      <w:r>
        <w:t xml:space="preserve">Chapter </w:t>
      </w:r>
      <w:r>
        <w:rPr/>
        <w:t xml:space="preserve">391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VICTIM AND WITNESS NOTIFICATION PROGRAM—ELIGIBLE OFFENSES AND PUBLIC RECORDS ACT EXEMPTION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Nobles, Trudeau, Dhingra, Frame, Hasegawa, Keiser, Lovick, Nguyen, Saldaña, Salomon, Shewmake, Stanford, Wagoner, Warnick, Wellman, C. Wilson, and J. Wilson; by request of Department of Corrections)</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 notification; amending RCW 72.09.712, 72.09.710, and 72.09.714;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2022 c 82 s 1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w:t>
      </w:r>
      <w:r>
        <w:rPr>
          <w:u w:val="single"/>
        </w:rPr>
        <w:t xml:space="preserve">a custodial interference in the first degree offense as defined by RCW 9A.40.060, a luring offense as defined by RCW 9A.40.090, a coercion into involuntary servitude offense as defined by RCW 9A.40.110, a criminal gang intimidation offense as defined by RCW 9A.46.120, an intimidating a public servant offense as defined by RCW 9A.76.180, an intimidation or harassment with an explosive offense as defined by RCW 70.74.275,</w:t>
      </w:r>
      <w:r>
        <w:rPr/>
        <w:t xml:space="preserve"> a vehicular homicide by disregard for the safety of others offense as defined by RCW 46.61.520, or a controlled substances homicide offense as defined by RCW 69.50.415,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w:t>
      </w:r>
      <w:r>
        <w:rPr>
          <w:u w:val="single"/>
        </w:rPr>
        <w:t xml:space="preserve">a custodial interference in the first degree offense as defined by RCW 9A.40.060, a luring offense as defined by RCW 9A.40.090, a coercion into involuntary servitude offense as defined by RCW 9A.40.110, a criminal gang intimidation offense as defined by RCW 9A.46.120, an intimidating a public servant offense as defined by RCW 9A.76.180, an intimidation or harassment with an explosive offense as defined by RCW 70.74.275,</w:t>
      </w:r>
      <w:r>
        <w:rPr/>
        <w:t xml:space="preserve"> a vehicular homicide by disregard for the safety of others offense as defined by RCW 46.61.520, or a controlled substances homicide offense as defined by RCW 69.50.415:</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w:t>
      </w:r>
      <w:r>
        <w:rPr>
          <w:u w:val="single"/>
        </w:rPr>
        <w:t xml:space="preserve">a custodial interference in the first degree offense as defined by RCW 9A.40.060, a luring offense as defined by RCW 9A.40.090, a coercion into involuntary servitude offense as defined by RCW 9A.40.110, a criminal gang intimidation offense as defined by RCW 9A.46.120, an intimidating a public servant offense as defined by RCW 9A.76.180, an intimidation or harassment with an explosive offense as defined by RCW 70.74.275,</w:t>
      </w:r>
      <w:r>
        <w:rPr/>
        <w:t xml:space="preserve"> a vehicular homicide by disregard for the safety of others offense as defined by RCW 46.61.520, or a controlled substances homicide offense as defined by RCW 69.50.415,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0" w:after="0" w:line="408" w:lineRule="exact"/>
        <w:ind w:left="0" w:right="0" w:firstLine="576"/>
        <w:jc w:val="left"/>
      </w:pPr>
      <w:r>
        <w:rPr>
          <w:u w:val="single"/>
        </w:rPr>
        <w:t xml:space="preserve">(10) Information and records prepared, owned, used, or retained by the department of corrections that reveal any notification or request for notification regarding any specific individual, or that reveal the identity, location of, or any information submitted by a person who requests or is invited to enroll for notification under subsection (2) of this section,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and records prepared, owned, used, or retained by the department of corrections that reveal any notification or request for notification regarding any specific individual, or that reveal the identity, location of, or any information submitted by a person who requests or is invited to enroll for notification under RCW 72.09.712(2) or 72.09.710(1), are exempt from public inspection and copying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710</w:t>
      </w:r>
      <w:r>
        <w:rPr/>
        <w:t xml:space="preserve"> and 2008 c 231 s 26 are each amended to read as follows:</w:t>
      </w:r>
    </w:p>
    <w:p>
      <w:pPr>
        <w:spacing w:before="0" w:after="0" w:line="408" w:lineRule="exact"/>
        <w:ind w:left="0" w:right="0" w:firstLine="576"/>
        <w:jc w:val="left"/>
      </w:pPr>
      <w:r>
        <w:rPr/>
        <w:t xml:space="preserve">(1) At the earliest possible date, and in no event later than ten days before release except in the event of escape or emergency furloughs as defined in RCW 72.66.010, the department of corrections shall send written notice of parole, community custody, work release placement, furlough, or escape about a specific inmate convicted of a serious drug offense to the following if such notice has been requested in writing about a specific inmate convicted of a serious drug offense:</w:t>
      </w:r>
    </w:p>
    <w:p>
      <w:pPr>
        <w:spacing w:before="0" w:after="0" w:line="408" w:lineRule="exact"/>
        <w:ind w:left="0" w:right="0" w:firstLine="576"/>
        <w:jc w:val="left"/>
      </w:pPr>
      <w:r>
        <w:rPr/>
        <w:t xml:space="preserve">(a) Any witnesses who testified against the inmate in any court proceedings involving the serious drug offense; and</w:t>
      </w:r>
    </w:p>
    <w:p>
      <w:pPr>
        <w:spacing w:before="0" w:after="0" w:line="408" w:lineRule="exact"/>
        <w:ind w:left="0" w:right="0" w:firstLine="576"/>
        <w:jc w:val="left"/>
      </w:pPr>
      <w:r>
        <w:rPr/>
        <w:t xml:space="preserve">(b) Any person specified in writing by the prosecuting attorney.</w:t>
      </w:r>
    </w:p>
    <w:p>
      <w:pPr>
        <w:spacing w:before="0" w:after="0" w:line="408" w:lineRule="exact"/>
        <w:ind w:left="0" w:right="0" w:firstLine="0"/>
        <w:jc w:val="left"/>
      </w:pPr>
      <w:r>
        <w:rPr/>
        <w:t xml:space="preserve">Information regarding witnesses requesting the notice, information regarding any other person specified in writing by the prosecuting attorney to receive the notice, and the notice are confidential and shall not be available to the inmate.</w:t>
      </w:r>
    </w:p>
    <w:p>
      <w:pPr>
        <w:spacing w:before="0" w:after="0" w:line="408" w:lineRule="exact"/>
        <w:ind w:left="0" w:right="0" w:firstLine="576"/>
        <w:jc w:val="left"/>
      </w:pPr>
      <w:r>
        <w:rPr/>
        <w:t xml:space="preserve">(2) If an inmate convicted of a serious drug offense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who are entitled to notice under this section.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(3) If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department of corrections shall send the notices required by this section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For purposes of this section, "serious drug offense" means an offense under RCW 69.50.401(2) (a) or (b) or 69.50.4011(2) (a) or (b).</w:t>
      </w:r>
    </w:p>
    <w:p>
      <w:pPr>
        <w:spacing w:before="0" w:after="0" w:line="408" w:lineRule="exact"/>
        <w:ind w:left="0" w:right="0" w:firstLine="576"/>
        <w:jc w:val="left"/>
      </w:pPr>
      <w:r>
        <w:rPr>
          <w:u w:val="single"/>
        </w:rPr>
        <w:t xml:space="preserve">(6) Information and records prepared, owned, used, or retained by the department of corrections that reveal any notification or request for notification regarding any specific individual, or that reveal the identity, location of, or any information submitted by a person who requests or is invited to enroll for notification under subsection (1) of this section,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2021 c 215 s 161 are each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RCW 7.105.450, 10.99.040, 10.99.050, 26.09.300, 26.10.220, 26.26B.050, or 26.52.070, or any of the former RCW 26.50.110 and 74.34.145, </w:t>
      </w:r>
      <w:r>
        <w:t>((</w:t>
      </w:r>
      <w:r>
        <w:rPr>
          <w:strike/>
        </w:rPr>
        <w:t xml:space="preserve">or</w:t>
      </w:r>
      <w:r>
        <w:t>))</w:t>
      </w:r>
      <w:r>
        <w:rPr/>
        <w:t xml:space="preserve"> a felony harassment pursuant to RCW 9A.46.060 or 9A.46.110, </w:t>
      </w:r>
      <w:r>
        <w:rPr>
          <w:u w:val="single"/>
        </w:rPr>
        <w:t xml:space="preserve">a domestic violence offense as defined in RCW 10.99.020, an assault in the third degree offense under RCW 9A.36.031, an unlawful imprisonment offense under RCW 9A.40.040, a custodial interference in the first degree offense as defined by RCW 9A.40.060, a luring offense as defined by RCW 9A.40.090, a coercion into involuntary servitude offense as defined by RCW 9A.40.110, a criminal gang intimidation offense as defined by RCW 9A.46.120, an intimidating a public servant offense as defined by RCW 9A.76.180, an intimidation or harassment with an explosive offense as defined by RCW 70.74.275, a vehicular homicide by disregard for the safety of others offense under RCW 46.61.520, or a controlled substances homicide offense under RCW 69.50.415,</w:t>
      </w:r>
      <w:r>
        <w:rPr/>
        <w:t xml:space="preserve"> a statement of the rights of victims and witnesses to request and receive notification under RCW 72.09.712 and 72.09.716.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3c6e191728e2482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c04cfd5bea415a" /><Relationship Type="http://schemas.openxmlformats.org/officeDocument/2006/relationships/footer" Target="/word/footer1.xml" Id="R3c6e191728e2482b" /></Relationships>
</file>