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40603b6fe49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5101</w:t>
      </w:r>
    </w:p>
    <w:p>
      <w:pPr>
        <w:jc w:val="center"/>
        <w:spacing w:before="480" w:after="0" w:line="240"/>
      </w:pPr>
      <w:r>
        <w:t xml:space="preserve">Chapter </w:t>
      </w:r>
      <w:r>
        <w:rPr/>
        <w:t xml:space="preserve">358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CORRECTIONS—EXTRAORDINARY MEDICAL PLACEMENT—ELIGIBILITY AND MONITORING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30</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59</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Saldaña, Warnick, Dhingra, Kuderer, Nguyen, Nobles, Shewmake, and C. Wilson)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extraordinary medical placement for incarcerated individuals at the department of corrections; and reenacting and amending RCW 9.94A.728.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w:t>
      </w:r>
      <w:r>
        <w:t>((</w:t>
      </w:r>
      <w:r>
        <w:rPr>
          <w:strike/>
        </w:rPr>
        <w:t xml:space="preserve">a medical condition that is serious and is expected to require costly care or treatment</w:t>
      </w:r>
      <w:r>
        <w:t>))</w:t>
      </w:r>
      <w:r>
        <w:rPr/>
        <w:t xml:space="preserve"> </w:t>
      </w:r>
      <w:r>
        <w:rPr>
          <w:u w:val="single"/>
        </w:rPr>
        <w:t xml:space="preserve">been assessed by two physicians and is determined to be one of the following:</w:t>
      </w:r>
    </w:p>
    <w:p>
      <w:pPr>
        <w:spacing w:before="0" w:after="0" w:line="408" w:lineRule="exact"/>
        <w:ind w:left="0" w:right="0" w:firstLine="576"/>
        <w:jc w:val="left"/>
      </w:pPr>
      <w:r>
        <w:rPr>
          <w:u w:val="single"/>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u w:val="single"/>
        </w:rPr>
        <w:t xml:space="preserve">(II) In ill health and is expected to die within six months and does not presently, and likely will not in the future, pose a threat to public safety</w:t>
      </w:r>
      <w:r>
        <w:rPr/>
        <w:t xml:space="preserve">;</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w:t>
      </w:r>
      <w:r>
        <w:t>((</w:t>
      </w:r>
      <w:r>
        <w:rPr>
          <w:strike/>
        </w:rPr>
        <w:t xml:space="preserve">offenders</w:t>
      </w:r>
      <w:r>
        <w:t>))</w:t>
      </w:r>
      <w:r>
        <w:rPr/>
        <w:t xml:space="preserve"> </w:t>
      </w:r>
      <w:r>
        <w:rPr>
          <w:u w:val="single"/>
        </w:rPr>
        <w:t xml:space="preserve">incarcerated individuals</w:t>
      </w:r>
      <w:r>
        <w:rPr/>
        <w:t xml:space="preserve"> under RCW 9.94A.733(1)(b), after serving at least four months in total confinement in a state correctional facility, an </w:t>
      </w:r>
      <w:r>
        <w:t>((</w:t>
      </w:r>
      <w:r>
        <w:rPr>
          <w:strike/>
        </w:rPr>
        <w:t xml:space="preserve">offender</w:t>
      </w:r>
      <w:r>
        <w:t>))</w:t>
      </w:r>
      <w:r>
        <w:rPr/>
        <w:t xml:space="preserve"> </w:t>
      </w:r>
      <w:r>
        <w:rPr>
          <w:u w:val="single"/>
        </w:rPr>
        <w:t xml:space="preserve">incarcerated individual</w:t>
      </w:r>
      <w:r>
        <w:rPr/>
        <w:t xml:space="preserve">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w:t>
      </w:r>
      <w:r>
        <w:t>((</w:t>
      </w:r>
      <w:r>
        <w:rPr>
          <w:strike/>
        </w:rPr>
        <w:t xml:space="preserve">person's eighteenth</w:t>
      </w:r>
      <w:r>
        <w:t>))</w:t>
      </w:r>
      <w:r>
        <w:rPr/>
        <w:t xml:space="preserve"> </w:t>
      </w:r>
      <w:r>
        <w:rPr>
          <w:u w:val="single"/>
        </w:rPr>
        <w:t xml:space="preserve">individual's 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w:t>
      </w:r>
      <w:r>
        <w:t>((</w:t>
      </w:r>
      <w:r>
        <w:rPr>
          <w:strike/>
        </w:rPr>
        <w:t xml:space="preserve">offender</w:t>
      </w:r>
      <w:r>
        <w:t>))</w:t>
      </w:r>
      <w:r>
        <w:rPr/>
        <w:t xml:space="preserve"> </w:t>
      </w:r>
      <w:r>
        <w:rPr>
          <w:u w:val="single"/>
        </w:rPr>
        <w:t xml:space="preserve">incarcerated individual</w:t>
      </w:r>
      <w:r>
        <w:rPr/>
        <w:t xml:space="preserve"> entitled to vacation of a conviction or the recalculation of his or her offender score pursuant to </w:t>
      </w:r>
      <w:r>
        <w:rPr>
          <w:i/>
        </w:rPr>
        <w:t xml:space="preserve">State v. Blake</w:t>
      </w:r>
      <w:r>
        <w:rPr/>
        <w:t xml:space="preserve">, No. 96873-0 (Feb. 25, 2021), may be released from confinement pursuant to a court order if the </w:t>
      </w:r>
      <w:r>
        <w:t>((</w:t>
      </w:r>
      <w:r>
        <w:rPr>
          <w:strike/>
        </w:rPr>
        <w:t xml:space="preserve">offender</w:t>
      </w:r>
      <w:r>
        <w:t>))</w:t>
      </w:r>
      <w:r>
        <w:rPr/>
        <w:t xml:space="preserve"> </w:t>
      </w:r>
      <w:r>
        <w:rPr>
          <w:u w:val="single"/>
        </w:rPr>
        <w:t xml:space="preserve">incarcerated individual</w:t>
      </w:r>
      <w:r>
        <w:rPr/>
        <w:t xml:space="preserve">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76205c308ab14a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4733204cd435e" /><Relationship Type="http://schemas.openxmlformats.org/officeDocument/2006/relationships/footer" Target="/word/footer1.xml" Id="R76205c308ab14ad5" /></Relationships>
</file>