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edac8cad3f49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5145</w:t>
      </w:r>
    </w:p>
    <w:p>
      <w:pPr>
        <w:jc w:val="center"/>
        <w:spacing w:before="480" w:after="0" w:line="240"/>
      </w:pPr>
      <w:r>
        <w:t xml:space="preserve">Chapter </w:t>
      </w:r>
      <w:r>
        <w:rPr/>
        <w:t xml:space="preserve">183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HYDROELECTRIC PROJECTS—OUTDOOR RECREATION LIABILITY—CERTAIN ACTIVITIES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5145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3:45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5145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Short, Salomon, McCune, and Warnick)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existing law regarding liability protections associated with public recreational use of lands or waters under a hydroelectric license issued by the federal energy regulatory commission; amending RCW 4.24.210;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2017 c 245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w:t>
      </w:r>
      <w:r>
        <w:rPr>
          <w:u w:val="single"/>
        </w:rPr>
        <w:t xml:space="preserve">boating, swimming, fishing,</w:t>
      </w:r>
      <w:r>
        <w:rPr/>
        <w:t xml:space="preserve">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and</w:t>
      </w:r>
    </w:p>
    <w:p>
      <w:pPr>
        <w:spacing w:before="0" w:after="0" w:line="408" w:lineRule="exact"/>
        <w:ind w:left="0" w:right="0" w:firstLine="576"/>
        <w:jc w:val="left"/>
      </w:pPr>
      <w:r>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any action filed prior to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574716fb49da4cd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25c937a5674c57" /><Relationship Type="http://schemas.openxmlformats.org/officeDocument/2006/relationships/footer" Target="/word/footer1.xml" Id="R574716fb49da4cdd" /></Relationships>
</file>