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6ea9eb00b14d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5457</w:t>
      </w:r>
    </w:p>
    <w:p>
      <w:pPr>
        <w:jc w:val="center"/>
        <w:spacing w:before="480" w:after="0" w:line="240"/>
      </w:pPr>
      <w:r>
        <w:t xml:space="preserve">Chapter </w:t>
      </w:r>
      <w:r>
        <w:rPr/>
        <w:t xml:space="preserve">280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GROWTH MANAGEMENT ACT COMPREHENSIVE PLANS—SMALL CITIES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5457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Short, Lovelett, Kuderer, and Shewmake</w:t>
      </w:r>
    </w:p>
    <w:p/>
    <w:p>
      <w:r>
        <w:rPr>
          <w:t xml:space="preserve">Read first time 01/19/23.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growth management task force legislative recommendations regarding small cities; and reenacting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u w:val="single"/>
        </w:rPr>
        <w:t xml:space="preserve">(b)(i) A city or town located within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u w:val="single"/>
        </w:rPr>
        <w:t xml:space="preserve">(A) Has a population fewer than 500;</w:t>
      </w:r>
    </w:p>
    <w:p>
      <w:pPr>
        <w:spacing w:before="0" w:after="0" w:line="408" w:lineRule="exact"/>
        <w:ind w:left="0" w:right="0" w:firstLine="576"/>
        <w:jc w:val="left"/>
      </w:pPr>
      <w:r>
        <w:rPr>
          <w:u w:val="single"/>
        </w:rPr>
        <w:t xml:space="preserve">(B) Is not located within 10 miles of a city with a population over 100,000; </w:t>
      </w:r>
    </w:p>
    <w:p>
      <w:pPr>
        <w:spacing w:before="0" w:after="0" w:line="408" w:lineRule="exact"/>
        <w:ind w:left="0" w:right="0" w:firstLine="576"/>
        <w:jc w:val="left"/>
      </w:pPr>
      <w:r>
        <w:rPr>
          <w:u w:val="single"/>
        </w:rPr>
        <w:t xml:space="preserve">(C) Experienced a population growth rate of fewer than 10 percent in the preceding 10 years; and</w:t>
      </w:r>
    </w:p>
    <w:p>
      <w:pPr>
        <w:spacing w:before="0" w:after="0" w:line="408" w:lineRule="exact"/>
        <w:ind w:left="0" w:right="0" w:firstLine="576"/>
        <w:jc w:val="left"/>
      </w:pPr>
      <w:r>
        <w:rPr>
          <w:u w:val="single"/>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u w:val="single"/>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u w:val="single"/>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w:t>
      </w:r>
      <w:r>
        <w:t>((</w:t>
      </w:r>
      <w:r>
        <w:rPr>
          <w:strike/>
        </w:rPr>
        <w:t xml:space="preserve">one hundred</w:t>
      </w:r>
      <w:r>
        <w:t>))</w:t>
      </w:r>
      <w:r>
        <w:rPr/>
        <w:t xml:space="preserve"> </w:t>
      </w:r>
      <w:r>
        <w:rPr>
          <w:u w:val="single"/>
        </w:rPr>
        <w:t xml:space="preserve">100</w:t>
      </w:r>
      <w:r>
        <w:rPr/>
        <w:t xml:space="preserve">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w:t>
      </w:r>
      <w:r>
        <w:t>((</w:t>
      </w:r>
      <w:r>
        <w:rPr>
          <w:strike/>
        </w:rPr>
        <w:t xml:space="preserve">twenty-four</w:t>
      </w:r>
      <w:r>
        <w:t>))</w:t>
      </w:r>
      <w:r>
        <w:rPr/>
        <w:t xml:space="preserve"> </w:t>
      </w:r>
      <w:r>
        <w:rPr>
          <w:u w:val="single"/>
        </w:rPr>
        <w:t xml:space="preserve">24</w:t>
      </w:r>
      <w:r>
        <w:rPr/>
        <w:t xml:space="preserve"> months following the deadline established in subsection (5) of this section: The county has a population of less than </w:t>
      </w:r>
      <w:r>
        <w:t>((</w:t>
      </w:r>
      <w:r>
        <w:rPr>
          <w:strike/>
        </w:rPr>
        <w:t xml:space="preserve">fifty thousand</w:t>
      </w:r>
      <w:r>
        <w:t>))</w:t>
      </w:r>
      <w:r>
        <w:rPr/>
        <w:t xml:space="preserve"> </w:t>
      </w:r>
      <w:r>
        <w:rPr>
          <w:u w:val="single"/>
        </w:rPr>
        <w:t xml:space="preserve">50,000</w:t>
      </w:r>
      <w:r>
        <w:rPr/>
        <w:t xml:space="preserve"> and has had its population increase by no more than </w:t>
      </w:r>
      <w:r>
        <w:t>((</w:t>
      </w:r>
      <w:r>
        <w:rPr>
          <w:strike/>
        </w:rPr>
        <w:t xml:space="preserve">seventeen</w:t>
      </w:r>
      <w:r>
        <w:t>))</w:t>
      </w:r>
      <w:r>
        <w:rPr/>
        <w:t xml:space="preserve"> </w:t>
      </w:r>
      <w:r>
        <w:rPr>
          <w:u w:val="single"/>
        </w:rPr>
        <w:t xml:space="preserve">17</w:t>
      </w:r>
      <w:r>
        <w:rPr/>
        <w:t xml:space="preserve"> percent in the </w:t>
      </w:r>
      <w:r>
        <w:t>((</w:t>
      </w:r>
      <w:r>
        <w:rPr>
          <w:strike/>
        </w:rPr>
        <w:t xml:space="preserve">ten</w:t>
      </w:r>
      <w:r>
        <w:t>))</w:t>
      </w:r>
      <w:r>
        <w:rPr/>
        <w:t xml:space="preserve"> </w:t>
      </w:r>
      <w:r>
        <w:rPr>
          <w:u w:val="single"/>
        </w:rPr>
        <w:t xml:space="preserve">10</w:t>
      </w:r>
      <w:r>
        <w:rPr/>
        <w:t xml:space="preserve">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w:t>
      </w:r>
      <w:r>
        <w:t>((</w:t>
      </w:r>
      <w:r>
        <w:rPr>
          <w:strike/>
        </w:rPr>
        <w:t xml:space="preserve">twenty-four</w:t>
      </w:r>
      <w:r>
        <w:t>))</w:t>
      </w:r>
      <w:r>
        <w:rPr/>
        <w:t xml:space="preserve"> </w:t>
      </w:r>
      <w:r>
        <w:rPr>
          <w:u w:val="single"/>
        </w:rPr>
        <w:t xml:space="preserve">24</w:t>
      </w:r>
      <w:r>
        <w:rPr/>
        <w:t xml:space="preserve"> months following the deadline established in subsection (5) of this section: The city has a population of no more than </w:t>
      </w:r>
      <w:r>
        <w:t>((</w:t>
      </w:r>
      <w:r>
        <w:rPr>
          <w:strike/>
        </w:rPr>
        <w:t xml:space="preserve">five thousand</w:t>
      </w:r>
      <w:r>
        <w:t>))</w:t>
      </w:r>
      <w:r>
        <w:rPr/>
        <w:t xml:space="preserve"> </w:t>
      </w:r>
      <w:r>
        <w:rPr>
          <w:u w:val="single"/>
        </w:rPr>
        <w:t xml:space="preserve">5,000</w:t>
      </w:r>
      <w:r>
        <w:rPr/>
        <w:t xml:space="preserve"> and has had its population increase by the greater of either no more than </w:t>
      </w:r>
      <w:r>
        <w:t>((</w:t>
      </w:r>
      <w:r>
        <w:rPr>
          <w:strike/>
        </w:rPr>
        <w:t xml:space="preserve">one hundred</w:t>
      </w:r>
      <w:r>
        <w:t>))</w:t>
      </w:r>
      <w:r>
        <w:rPr/>
        <w:t xml:space="preserve"> </w:t>
      </w:r>
      <w:r>
        <w:rPr>
          <w:u w:val="single"/>
        </w:rPr>
        <w:t xml:space="preserve">100</w:t>
      </w:r>
      <w:r>
        <w:rPr/>
        <w:t xml:space="preserve"> persons or no more than </w:t>
      </w:r>
      <w:r>
        <w:t>((</w:t>
      </w:r>
      <w:r>
        <w:rPr>
          <w:strike/>
        </w:rPr>
        <w:t xml:space="preserve">seventeen</w:t>
      </w:r>
      <w:r>
        <w:t>))</w:t>
      </w:r>
      <w:r>
        <w:rPr/>
        <w:t xml:space="preserve"> </w:t>
      </w:r>
      <w:r>
        <w:rPr>
          <w:u w:val="single"/>
        </w:rPr>
        <w:t xml:space="preserve">17</w:t>
      </w:r>
      <w:r>
        <w:rPr/>
        <w:t xml:space="preserve"> percent in the </w:t>
      </w:r>
      <w:r>
        <w:t>((</w:t>
      </w:r>
      <w:r>
        <w:rPr>
          <w:strike/>
        </w:rPr>
        <w:t xml:space="preserve">ten</w:t>
      </w:r>
      <w:r>
        <w:t>))</w:t>
      </w:r>
      <w:r>
        <w:rPr/>
        <w:t xml:space="preserve"> </w:t>
      </w:r>
      <w:r>
        <w:rPr>
          <w:u w:val="single"/>
        </w:rPr>
        <w:t xml:space="preserve">10</w:t>
      </w:r>
      <w:r>
        <w:rPr/>
        <w:t xml:space="preserve">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d1399d40b72246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a2cbe3011e44e8" /><Relationship Type="http://schemas.openxmlformats.org/officeDocument/2006/relationships/footer" Target="/word/footer1.xml" Id="Rd1399d40b72246db" /></Relationships>
</file>