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d2025035848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5623</w:t>
      </w:r>
    </w:p>
    <w:p>
      <w:pPr>
        <w:jc w:val="center"/>
        <w:spacing w:before="480" w:after="0" w:line="240"/>
      </w:pPr>
      <w:r>
        <w:t xml:space="preserve">Chapter </w:t>
      </w:r>
      <w:r>
        <w:rPr/>
        <w:t xml:space="preserve">52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HATE CRIME OFFENSES—ELEMENTS AND PROSECUTING STANDARDS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33</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23, 2023</w:t>
            </w:r>
          </w:p>
          <w:p>
            <w:pPr>
              <w:ind w:left="0" w:right="0" w:firstLine="360"/>
            </w:pPr>
            <w:r>
              <w:t xml:space="preserve">Yeas </w:t>
              <w:t xml:space="preserve">89</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5623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Dhingra, Conway, Hasegawa, Kuderer, Liias, Lovelett, Nobles, Pedersen, Stanford, and C. Wilson</w:t>
      </w:r>
    </w:p>
    <w:p/>
    <w:p>
      <w:r>
        <w:rPr>
          <w:t xml:space="preserve">Read first time 01/30/23.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 element of the offense of hate crime and classifying a hate crime as crimes against persons; and amending RCW 9A.36.080 and 9.94A.411.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2019 c 271 s 2 are each amended to read as follows:</w:t>
      </w:r>
    </w:p>
    <w:p>
      <w:pPr>
        <w:spacing w:before="0" w:after="0" w:line="408" w:lineRule="exact"/>
        <w:ind w:left="0" w:right="0" w:firstLine="576"/>
        <w:jc w:val="left"/>
      </w:pPr>
      <w:r>
        <w:rPr/>
        <w:t xml:space="preserve">(1) A person is guilty of a hate crime offense if he or she maliciously and intentionally commits one of the following acts because of his or her perception of the victim's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w:t>
      </w:r>
      <w:r>
        <w:t>((</w:t>
      </w:r>
      <w:r>
        <w:rPr>
          <w:strike/>
        </w:rPr>
        <w:t xml:space="preserve">Causes physical injury to</w:t>
      </w:r>
      <w:r>
        <w:t>))</w:t>
      </w:r>
      <w:r>
        <w:rPr/>
        <w:t xml:space="preserve"> </w:t>
      </w:r>
      <w:r>
        <w:rPr>
          <w:u w:val="single"/>
        </w:rPr>
        <w:t xml:space="preserve">Assaults</w:t>
      </w:r>
      <w:r>
        <w:rPr/>
        <w:t xml:space="preserve"> the victim or another person;</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w:t>
      </w:r>
      <w:r>
        <w:t>((</w:t>
      </w:r>
      <w:r>
        <w:rPr>
          <w:strike/>
        </w:rPr>
        <w:t xml:space="preserve">swastika</w:t>
      </w:r>
      <w:r>
        <w:t>))</w:t>
      </w:r>
      <w:r>
        <w:rPr/>
        <w:t xml:space="preserve"> </w:t>
      </w:r>
      <w:r>
        <w:rPr>
          <w:u w:val="single"/>
        </w:rPr>
        <w:t xml:space="preserve">Nazi emblem, symbol, or hakenkreuz</w:t>
      </w:r>
      <w:r>
        <w:rPr/>
        <w:t xml:space="preserve">;</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u w:val="single"/>
        </w:rPr>
        <w:t xml:space="preserve">Hate Crime (RCW 9A.36.080)</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26.10.220,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March 23,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153b1dfde8d449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e61e32c5e44802" /><Relationship Type="http://schemas.openxmlformats.org/officeDocument/2006/relationships/footer" Target="/word/footer1.xml" Id="R153b1dfde8d4499c" /></Relationships>
</file>