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b5de2b44149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5805</w:t>
      </w:r>
    </w:p>
    <w:p>
      <w:pPr>
        <w:jc w:val="center"/>
        <w:spacing w:before="480" w:after="0" w:line="240"/>
      </w:pPr>
      <w:r>
        <w:t xml:space="preserve">Chapter </w:t>
      </w:r>
      <w:r>
        <w:rPr/>
        <w:t xml:space="preserve">25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ATTORNEYS FOR YOUTH IN DEPENDENCY—SCHEDULE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2024</w:t>
            </w:r>
          </w:p>
          <w:p>
            <w:pPr>
              <w:ind w:left="0" w:right="0" w:firstLine="360"/>
            </w:pPr>
            <w:r>
              <w:t xml:space="preserve">Yeas </w:t>
              <w:t xml:space="preserve">46</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5805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Frame, Boehnke, Kuderer, Nguyen, Nobles, Trudeau, and C. Wilson</w:t>
      </w:r>
    </w:p>
    <w:p/>
    <w:p>
      <w:r>
        <w:rPr>
          <w:t xml:space="preserve">Prefiled 12/06/23.</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schedule for court appointment of attorneys for children and youth in dependency and termination proceedings; and amending RCW 13.34.212.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212</w:t>
      </w:r>
      <w:r>
        <w:rPr/>
        <w:t xml:space="preserve"> and 2021 c 210 s 6 are each amended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chapter 210, Laws of 2021.</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(a)(i) or (ii) of this subsection,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w:t>
      </w:r>
      <w:r>
        <w:t>((</w:t>
      </w:r>
      <w:r>
        <w:rPr>
          <w:strike/>
        </w:rPr>
        <w:t xml:space="preserve">six-year</w:t>
      </w:r>
      <w:r>
        <w:t>))</w:t>
      </w:r>
      <w:r>
        <w:rPr/>
        <w:t xml:space="preserve"> </w:t>
      </w:r>
      <w:r>
        <w:rPr>
          <w:u w:val="single"/>
        </w:rPr>
        <w:t xml:space="preserve">seven-year</w:t>
      </w:r>
      <w:r>
        <w:rPr/>
        <w:t xml:space="preserve"> period. The schedule required under this subsection must </w:t>
      </w:r>
      <w:r>
        <w:rPr>
          <w:u w:val="single"/>
        </w:rPr>
        <w:t xml:space="preserve">not add more than 1,250 cases each fiscal year and</w:t>
      </w:r>
      <w:r>
        <w:rPr/>
        <w:t xml:space="preserve">:</w:t>
      </w:r>
    </w:p>
    <w:p>
      <w:pPr>
        <w:spacing w:before="0" w:after="0" w:line="408" w:lineRule="exact"/>
        <w:ind w:left="0" w:right="0" w:firstLine="576"/>
        <w:jc w:val="left"/>
      </w:pPr>
      <w:r>
        <w:rPr/>
        <w:t xml:space="preserve">(i) </w:t>
      </w:r>
      <w:r>
        <w:t>((</w:t>
      </w:r>
      <w:r>
        <w:rPr>
          <w:strike/>
        </w:rPr>
        <w:t xml:space="preserve">Prioritize</w:t>
      </w:r>
      <w:r>
        <w:t>))</w:t>
      </w:r>
      <w:r>
        <w:rPr/>
        <w:t xml:space="preserve"> </w:t>
      </w:r>
      <w:r>
        <w:rPr>
          <w:u w:val="single"/>
        </w:rPr>
        <w:t xml:space="preserve">To the extent practicable, prioritize</w:t>
      </w:r>
      <w:r>
        <w:rPr/>
        <w:t xml:space="preserv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u w:val="single"/>
        </w:rPr>
        <w:t xml:space="preserve">(F) Thirty-six counties beginning in January 1, 2027;</w:t>
      </w:r>
      <w:r>
        <w:rPr/>
        <w:t xml:space="preserve"> and</w:t>
      </w:r>
    </w:p>
    <w:p>
      <w:pPr>
        <w:spacing w:before="0" w:after="0" w:line="408" w:lineRule="exact"/>
        <w:ind w:left="0" w:right="0" w:firstLine="576"/>
        <w:jc w:val="left"/>
      </w:pPr>
      <w:r>
        <w:rPr/>
        <w:t xml:space="preserve">(iii) Achieve full statewide implementation by January 1, </w:t>
      </w:r>
      <w:r>
        <w:t>((</w:t>
      </w:r>
      <w:r>
        <w:rPr>
          <w:strike/>
        </w:rPr>
        <w:t xml:space="preserve">2027</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(d)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(e)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chapter 210, Laws of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3633b48b3c89441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184e29395a4ac5" /><Relationship Type="http://schemas.openxmlformats.org/officeDocument/2006/relationships/footer" Target="/word/footer1.xml" Id="R3633b48b3c894410" /></Relationships>
</file>