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8e3b8328c442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5890</w:t>
      </w:r>
    </w:p>
    <w:p>
      <w:pPr>
        <w:jc w:val="center"/>
        <w:spacing w:before="480" w:after="0" w:line="240"/>
      </w:pPr>
      <w:r>
        <w:t xml:space="preserve">Chapter </w:t>
      </w:r>
      <w:r>
        <w:rPr/>
        <w:t xml:space="preserve">269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ELECTIONS—BALLOT REJECTION, CURING, AND CANVASSING</w:t>
      </w:r>
    </w:p>
    <w:p>
      <w:pPr>
        <w:spacing w:before="720" w:after="240" w:line="240" w:lineRule="exact"/>
        <w:ind w:left="0" w:right="0" w:firstLine="0"/>
        <w:jc w:val="center"/>
      </w:pPr>
      <w:r>
        <w:t xml:space="preserve">EFFECTIVE DATE: </w:t>
      </w:r>
      <w:r>
        <w:rPr/>
        <w:t xml:space="preserve">June 6, 2024—Except for section 7, which takes effect June 1, 2025; and section 11, which takes effect July 15,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Hunt, Dhingra, Kuderer, Nguyen, Nobles, and Pedersen)</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ballot rejection rates through updates to ballot curing, canvassing, reporting, and outreach processes; amending RCW 29A.60.165, 29A.40.091, 29A.40.091, 29A.60.140, 29A.08.210, and 29A.08.210; reenacting and amending RCW 29A.40.110; adding a new section to chapter 29A.08 RCW; adding new sections to chapter 29A.60 RCW;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165</w:t>
      </w:r>
      <w:r>
        <w:rPr/>
        <w:t xml:space="preserve"> and 2019 c 167 s 1 are each amended to read as follows:</w:t>
      </w:r>
    </w:p>
    <w:p>
      <w:pPr>
        <w:spacing w:before="0" w:after="0" w:line="408" w:lineRule="exact"/>
        <w:ind w:left="0" w:right="0" w:firstLine="576"/>
        <w:jc w:val="left"/>
      </w:pPr>
      <w:r>
        <w:rPr/>
        <w:t xml:space="preserve">(1) If the voter neglects to sign the ballot declaration, the auditor shall notify the voter by first-class mail </w:t>
      </w:r>
      <w:r>
        <w:rPr>
          <w:u w:val="single"/>
        </w:rPr>
        <w:t xml:space="preserve">and, if the auditor has a telephone number or email address on file for a voter, by telephone, text message, or email,</w:t>
      </w:r>
      <w:r>
        <w:rPr/>
        <w:t xml:space="preserve"> and advise the voter </w:t>
      </w:r>
      <w:r>
        <w:rPr>
          <w:u w:val="single"/>
        </w:rPr>
        <w:t xml:space="preserve">both that their ballot is unsigned and</w:t>
      </w:r>
      <w:r>
        <w:rPr/>
        <w:t xml:space="preserve"> of the correct procedures for completing the unsigned declaration. If the ballot is received within </w:t>
      </w:r>
      <w:r>
        <w:t>((</w:t>
      </w:r>
      <w:r>
        <w:rPr>
          <w:strike/>
        </w:rPr>
        <w:t xml:space="preserve">three</w:t>
      </w:r>
      <w:r>
        <w:t>))</w:t>
      </w:r>
      <w:r>
        <w:rPr/>
        <w:t xml:space="preserve"> </w:t>
      </w:r>
      <w:r>
        <w:rPr>
          <w:u w:val="single"/>
        </w:rPr>
        <w:t xml:space="preserve">five</w:t>
      </w:r>
      <w:r>
        <w:rPr/>
        <w:t xml:space="preserve"> business days of the final meeting of the canvassing board, or the voter has been notified by first-class mail and has not responded at least </w:t>
      </w:r>
      <w:r>
        <w:t>((</w:t>
      </w:r>
      <w:r>
        <w:rPr>
          <w:strike/>
        </w:rPr>
        <w:t xml:space="preserve">three</w:t>
      </w:r>
      <w:r>
        <w:t>))</w:t>
      </w:r>
      <w:r>
        <w:rPr/>
        <w:t xml:space="preserve"> </w:t>
      </w:r>
      <w:r>
        <w:rPr>
          <w:u w:val="single"/>
        </w:rPr>
        <w:t xml:space="preserve">five</w:t>
      </w:r>
      <w:r>
        <w:rPr/>
        <w:t xml:space="preserve"> business days before the final meeting of the canvassing board, then the auditor shall attempt to notify the voter by telephone, using the voter registration record information.</w:t>
      </w:r>
    </w:p>
    <w:p>
      <w:pPr>
        <w:spacing w:before="0" w:after="0" w:line="408" w:lineRule="exact"/>
        <w:ind w:left="0" w:right="0" w:firstLine="576"/>
        <w:jc w:val="left"/>
      </w:pPr>
      <w:r>
        <w:rPr/>
        <w:t xml:space="preserve">(2)(a) If the handwriting of the signature on a ballot declaration is not the same as the handwriting of the signature on the registration file, the auditor shall notify the voter by first-class mail, </w:t>
      </w:r>
      <w:r>
        <w:rPr>
          <w:u w:val="single"/>
        </w:rPr>
        <w:t xml:space="preserve">and, if the auditor has a telephone number or email address on file for a voter, by telephone, text message, or email,</w:t>
      </w:r>
      <w:r>
        <w:rPr/>
        <w:t xml:space="preserve"> enclosing a copy of the declaration </w:t>
      </w:r>
      <w:r>
        <w:rPr>
          <w:u w:val="single"/>
        </w:rPr>
        <w:t xml:space="preserve">if notified by first-class mail or email</w:t>
      </w:r>
      <w:r>
        <w:rPr/>
        <w:t xml:space="preserve">, and advise the voter </w:t>
      </w:r>
      <w:r>
        <w:rPr>
          <w:u w:val="single"/>
        </w:rPr>
        <w:t xml:space="preserve">both that the signature on the ballot declaration does not match the signature on file and</w:t>
      </w:r>
      <w:r>
        <w:rPr/>
        <w:t xml:space="preserve"> of the correct procedures for updating his or her signature on the voter registration file. If the ballot is received within </w:t>
      </w:r>
      <w:r>
        <w:t>((</w:t>
      </w:r>
      <w:r>
        <w:rPr>
          <w:strike/>
        </w:rPr>
        <w:t xml:space="preserve">three</w:t>
      </w:r>
      <w:r>
        <w:t>))</w:t>
      </w:r>
      <w:r>
        <w:rPr/>
        <w:t xml:space="preserve"> </w:t>
      </w:r>
      <w:r>
        <w:rPr>
          <w:u w:val="single"/>
        </w:rPr>
        <w:t xml:space="preserve">five</w:t>
      </w:r>
      <w:r>
        <w:rPr/>
        <w:t xml:space="preserve"> business days of the final meeting of the canvassing board, or the voter has been notified by first-class mail and has not responded at least </w:t>
      </w:r>
      <w:r>
        <w:t>((</w:t>
      </w:r>
      <w:r>
        <w:rPr>
          <w:strike/>
        </w:rPr>
        <w:t xml:space="preserve">three</w:t>
      </w:r>
      <w:r>
        <w:t>))</w:t>
      </w:r>
      <w:r>
        <w:rPr/>
        <w:t xml:space="preserve"> </w:t>
      </w:r>
      <w:r>
        <w:rPr>
          <w:u w:val="single"/>
        </w:rPr>
        <w:t xml:space="preserve">five</w:t>
      </w:r>
      <w:r>
        <w:rPr/>
        <w:t xml:space="preserve"> business days before the final meeting of the canvassing board, then the auditor shall attempt to notify the voter by telephone</w:t>
      </w:r>
      <w:r>
        <w:rPr>
          <w:u w:val="single"/>
        </w:rPr>
        <w:t xml:space="preserve">, text message, or email</w:t>
      </w:r>
      <w:r>
        <w:rPr/>
        <w:t xml:space="preserve">, using the voter registration record information.</w:t>
      </w:r>
    </w:p>
    <w:p>
      <w:pPr>
        <w:spacing w:before="0" w:after="0" w:line="408" w:lineRule="exact"/>
        <w:ind w:left="0" w:right="0" w:firstLine="576"/>
        <w:jc w:val="left"/>
      </w:pPr>
      <w:r>
        <w:rPr/>
        <w:t xml:space="preserve">(b) If the signature on a ballot declaration is not the same as the signature on the registration file because the </w:t>
      </w:r>
      <w:r>
        <w:rPr>
          <w:u w:val="single"/>
        </w:rPr>
        <w:t xml:space="preserve">voter's</w:t>
      </w:r>
      <w:r>
        <w:rPr/>
        <w:t xml:space="preserve"> name </w:t>
      </w:r>
      <w:r>
        <w:t>((</w:t>
      </w:r>
      <w:r>
        <w:rPr>
          <w:strike/>
        </w:rPr>
        <w:t xml:space="preserve">is different</w:t>
      </w:r>
      <w:r>
        <w:t>))</w:t>
      </w:r>
      <w:r>
        <w:rPr/>
        <w:t xml:space="preserve"> </w:t>
      </w:r>
      <w:r>
        <w:rPr>
          <w:u w:val="single"/>
        </w:rPr>
        <w:t xml:space="preserve">has changed</w:t>
      </w:r>
      <w:r>
        <w:rPr/>
        <w:t xml:space="preserve">, the ballot may be counted as long as the handwriting is clearly the same. The auditor shall send the voter a change-of-name form under RCW 29A.08.440 and direct the voter to complete the form.</w:t>
      </w:r>
    </w:p>
    <w:p>
      <w:pPr>
        <w:spacing w:before="0" w:after="0" w:line="408" w:lineRule="exact"/>
        <w:ind w:left="0" w:right="0" w:firstLine="576"/>
        <w:jc w:val="left"/>
      </w:pPr>
      <w:r>
        <w:rPr/>
        <w:t xml:space="preserve">(c) If the signature on a ballot declaration is not the same as the signature on the registration file because the voter used initials or a common nickname, the ballot may be counted as long as the surname and handwriting are clearly the same.</w:t>
      </w:r>
    </w:p>
    <w:p>
      <w:pPr>
        <w:spacing w:before="0" w:after="0" w:line="408" w:lineRule="exact"/>
        <w:ind w:left="0" w:right="0" w:firstLine="576"/>
        <w:jc w:val="left"/>
      </w:pPr>
      <w:r>
        <w:rPr/>
        <w:t xml:space="preserve">(3) </w:t>
      </w:r>
      <w:r>
        <w:rPr>
          <w:u w:val="single"/>
        </w:rPr>
        <w:t xml:space="preserve">If the auditor calls a voter who neglected to sign the ballot declaration or whose signature on the ballot declaration does not match the signature in the registration file and the voter does not answer, but voice mail is available, the auditor shall leave a voice mail message.</w:t>
      </w:r>
    </w:p>
    <w:p>
      <w:pPr>
        <w:spacing w:before="0" w:after="0" w:line="408" w:lineRule="exact"/>
        <w:ind w:left="0" w:right="0" w:firstLine="576"/>
        <w:jc w:val="left"/>
      </w:pPr>
      <w:r>
        <w:rPr>
          <w:u w:val="single"/>
        </w:rPr>
        <w:t xml:space="preserve">(4) An auditor who provides electronic means for submission of a ballot declaration signature shall establish appropriate privacy and security protocols that ensure that the information transmitted is received directly and securely by the auditor and is only used for the stated purposes of verifying the signature on the voter's ballot.</w:t>
      </w:r>
    </w:p>
    <w:p>
      <w:pPr>
        <w:spacing w:before="0" w:after="0" w:line="408" w:lineRule="exact"/>
        <w:ind w:left="0" w:right="0" w:firstLine="576"/>
        <w:jc w:val="left"/>
      </w:pPr>
      <w:r>
        <w:rPr>
          <w:u w:val="single"/>
        </w:rPr>
        <w:t xml:space="preserve">(5) If a voter's ballot is rejected in two consecutive primary or general elections due to a mismatched signature, the auditor must contact the voter by telephone, text message, or email, if the auditor has a telephone number or email address on file for the voter, and request that the voter update their signature for the voter's registration file.</w:t>
      </w:r>
    </w:p>
    <w:p>
      <w:pPr>
        <w:spacing w:before="0" w:after="0" w:line="408" w:lineRule="exact"/>
        <w:ind w:left="0" w:right="0" w:firstLine="576"/>
        <w:jc w:val="left"/>
      </w:pPr>
      <w:r>
        <w:rPr>
          <w:u w:val="single"/>
        </w:rPr>
        <w:t xml:space="preserve">(6)</w:t>
      </w:r>
      <w:r>
        <w:rPr/>
        <w:t xml:space="preserve"> A voter may not cure a missing or mismatched signature for purposes of counting the ballot in a recount.</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 record must be kept of all ballots with missing and mismatched signatures. The record must contain the date on which the voter was contacted or the notice was mailed, as well as the date on which the voter submitted updated information. The record must be updated each day that ballots are processed under RCW 29A.60.160, each time a voter was contacted or the notice was mailed, and when the voter submitted updated information. The auditor shall send the record, and any updated records, to the secretary of state no later than forty-eight hours after the record is created or updated. The secretary of state shall make all records publicly available no later than twenty-four hours after receiving the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After certification of general, primary, and presidential primary election results, county auditors are encouraged to contact each registered voter to obtain an updated signature for the voter's registration file. Failure to respond to contact from the county auditor under this section shall not impact the voter's registration status. Any contact from a county auditor under this section must clearly state that the voter is not required to provide an updated signature and that providing an updated signature is not a requirement to vote in any future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secretary of state shall:</w:t>
      </w:r>
    </w:p>
    <w:p>
      <w:pPr>
        <w:spacing w:before="0" w:after="0" w:line="408" w:lineRule="exact"/>
        <w:ind w:left="0" w:right="0" w:firstLine="576"/>
        <w:jc w:val="left"/>
      </w:pPr>
      <w:r>
        <w:rPr/>
        <w:t xml:space="preserve">(a) Adopt and regularly review statewide standards for determining whether the voter's signature on the ballot declaration is the same as the signature of that voter in the county's registration files as required by RCW 29A.40.110(3);</w:t>
      </w:r>
    </w:p>
    <w:p>
      <w:pPr>
        <w:spacing w:before="0" w:after="0" w:line="408" w:lineRule="exact"/>
        <w:ind w:left="0" w:right="0" w:firstLine="576"/>
        <w:jc w:val="left"/>
      </w:pPr>
      <w:r>
        <w:rPr/>
        <w:t xml:space="preserve">(b) Adopt, publish, and regularly update a training manual, reviewed by appropriate experts, for the use of local election personnel in implementing the standards adopted under (a) of this subsection; and</w:t>
      </w:r>
    </w:p>
    <w:p>
      <w:pPr>
        <w:spacing w:before="0" w:after="0" w:line="408" w:lineRule="exact"/>
        <w:ind w:left="0" w:right="0" w:firstLine="576"/>
        <w:jc w:val="left"/>
      </w:pPr>
      <w:r>
        <w:rPr/>
        <w:t xml:space="preserve">(c) Design and implement tools intended to confirm compliance with these standards. These tools shall be available to county auditors for compliance, and may include comparisons, at random intervals, of whether rejections of signatures on ballot declarations for failure to match the voter's signature in the county's registration files comply with the standards adopted under (a) of this subsection.</w:t>
      </w:r>
    </w:p>
    <w:p>
      <w:pPr>
        <w:spacing w:before="0" w:after="0" w:line="408" w:lineRule="exact"/>
        <w:ind w:left="0" w:right="0" w:firstLine="576"/>
        <w:jc w:val="left"/>
      </w:pPr>
      <w:r>
        <w:rPr/>
        <w:t xml:space="preserve">(2) All training materials for canvassing review board members and election personnel on the statewide standards for signature verification established in this section must be open to the public for observation.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secretary of state shall design forms for voters to use in completing incomplete ballot declarations and forms to be used by voters in updating a voter's signature in the county's registration files in the various languages required of state agencies. The forms must include the oath and warning language used on voter registration forms. Each county auditor shall provide these forms on the auditor's website and in the auditor's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Each county auditor shall develop a community outreach plan to educate voters about signature verification requirements and the importance of ballot signatures matching signatures in voter registration files. The outreach plan shall include materials for publication on the county auditor's website and distribution in communities throughout the county that clearly explain signature verification requirements and the process of updating signatures in voter registration files or curing challenged ballots under RCW 29A.60.165. Materials prepared under the outreach plan should be written clearly and in plain language. Materials must be produced in English, Spanish, and any other language required by the federal voting rights act. Materials prepared as part of the outreach plan should be informed by the data collected in the survey required by RCW 29A.60.300 and should target groups with higher rates of ballot rejection. The secretary of state may assist in preparation of materials for a county's outreach plan, including coordinating between multiple counties and providing information about statewide requirements.</w:t>
      </w:r>
    </w:p>
    <w:p>
      <w:pPr>
        <w:spacing w:before="0" w:after="0" w:line="408" w:lineRule="exact"/>
        <w:ind w:left="0" w:right="0" w:firstLine="576"/>
        <w:jc w:val="left"/>
      </w:pPr>
      <w:r>
        <w:rPr/>
        <w:t xml:space="preserve">(2) County auditors are encouraged to establish partnerships with trusted community organizations as part of the community outreach plan to maximize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2021 c 10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r>
        <w:t>((</w:t>
      </w:r>
      <w:r>
        <w:rPr>
          <w:strike/>
        </w:rPr>
        <w:t xml:space="preserve">:</w:t>
      </w:r>
    </w:p>
    <w:p>
      <w:pPr>
        <w:spacing w:before="0" w:after="0" w:line="408" w:lineRule="exact"/>
        <w:ind w:left="0" w:right="0" w:firstLine="576"/>
        <w:jc w:val="left"/>
      </w:pPr>
      <w:r>
        <w:rPr>
          <w:strike/>
        </w:rPr>
        <w:t xml:space="preserve">(a) For all general elections in 2020 and after;</w:t>
      </w:r>
    </w:p>
    <w:p>
      <w:pPr>
        <w:spacing w:before="0" w:after="0" w:line="408" w:lineRule="exact"/>
        <w:ind w:left="0" w:right="0" w:firstLine="576"/>
        <w:jc w:val="left"/>
      </w:pPr>
      <w:r>
        <w:rPr>
          <w:strike/>
        </w:rPr>
        <w:t xml:space="preserve">(b) For all primary elections in 2021 and after; and</w:t>
      </w:r>
    </w:p>
    <w:p>
      <w:pPr>
        <w:spacing w:before="0" w:after="0" w:line="408" w:lineRule="exact"/>
        <w:ind w:left="0" w:right="0" w:firstLine="576"/>
        <w:jc w:val="left"/>
      </w:pPr>
      <w:r>
        <w:rPr>
          <w:strike/>
        </w:rPr>
        <w:t xml:space="preserve">(c) For all elections in 2022 and after</w:t>
      </w:r>
      <w:r>
        <w:t>))</w:t>
      </w:r>
      <w:r>
        <w:rPr/>
        <w:t xml:space="preserve">.</w:t>
      </w:r>
    </w:p>
    <w:p>
      <w:pPr>
        <w:spacing w:before="0" w:after="0" w:line="408" w:lineRule="exact"/>
        <w:ind w:left="0" w:right="0" w:firstLine="576"/>
        <w:jc w:val="left"/>
      </w:pPr>
      <w:r>
        <w:rPr/>
        <w:t xml:space="preserve">(2)</w:t>
      </w:r>
      <w:r>
        <w:rPr>
          <w:u w:val="single"/>
        </w:rPr>
        <w:t xml:space="preserve">(a)</w:t>
      </w:r>
      <w:r>
        <w:rPr/>
        <w:t xml:space="preserve">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u w:val="single"/>
        </w:rPr>
        <w:t xml:space="preserve">(b) By June 1, 2025, the declaration in (a) of this subsection must also clearly inform the voter that the signature on the declaration will be compared to the signature in the voter's registration file.</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2021 c 10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r>
        <w:t>((</w:t>
      </w:r>
      <w:r>
        <w:rPr>
          <w:strike/>
        </w:rPr>
        <w:t xml:space="preserve">:</w:t>
      </w:r>
    </w:p>
    <w:p>
      <w:pPr>
        <w:spacing w:before="0" w:after="0" w:line="408" w:lineRule="exact"/>
        <w:ind w:left="0" w:right="0" w:firstLine="576"/>
        <w:jc w:val="left"/>
      </w:pPr>
      <w:r>
        <w:rPr>
          <w:strike/>
        </w:rPr>
        <w:t xml:space="preserve">(a) For all general elections in 2020 and after;</w:t>
      </w:r>
    </w:p>
    <w:p>
      <w:pPr>
        <w:spacing w:before="0" w:after="0" w:line="408" w:lineRule="exact"/>
        <w:ind w:left="0" w:right="0" w:firstLine="576"/>
        <w:jc w:val="left"/>
      </w:pPr>
      <w:r>
        <w:rPr>
          <w:strike/>
        </w:rPr>
        <w:t xml:space="preserve">(b) For all primary elections in 2021 and after; and</w:t>
      </w:r>
    </w:p>
    <w:p>
      <w:pPr>
        <w:spacing w:before="0" w:after="0" w:line="408" w:lineRule="exact"/>
        <w:ind w:left="0" w:right="0" w:firstLine="576"/>
        <w:jc w:val="left"/>
      </w:pPr>
      <w:r>
        <w:rPr>
          <w:strike/>
        </w:rPr>
        <w:t xml:space="preserve">(c) For all elections in 2022 and after</w:t>
      </w:r>
      <w:r>
        <w:t>))</w:t>
      </w:r>
      <w:r>
        <w:rPr/>
        <w:t xml:space="preserve">.</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w:t>
      </w:r>
      <w:r>
        <w:t>((</w:t>
      </w:r>
      <w:r>
        <w:rPr>
          <w:strike/>
        </w:rPr>
        <w:t xml:space="preserve">and</w:t>
      </w:r>
      <w:r>
        <w:t>))</w:t>
      </w:r>
      <w:r>
        <w:rPr/>
        <w:t xml:space="preserve"> it is illegal to cast a ballot or sign a ballot declaration on behalf of another voter</w:t>
      </w:r>
      <w:r>
        <w:rPr>
          <w:u w:val="single"/>
        </w:rPr>
        <w:t xml:space="preserve">; and that the signature on the declaration will be compared to the signature in the voter's registration file</w:t>
      </w:r>
      <w:r>
        <w:rPr/>
        <w:t xml:space="preserve">.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w:t>
      </w:r>
      <w:r>
        <w:rPr>
          <w:u w:val="single"/>
        </w:rPr>
        <w:t xml:space="preserve">The county auditor shall publish on its website the names of all canvassing board members who received training on statewide standards for signature verification and the dates on which the training was completed.</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140</w:t>
      </w:r>
      <w:r>
        <w:rPr/>
        <w:t xml:space="preserve"> and 2008 c 308 s 1 are each amended to read as follows:</w:t>
      </w:r>
    </w:p>
    <w:p>
      <w:pPr>
        <w:spacing w:before="0" w:after="0" w:line="408" w:lineRule="exact"/>
        <w:ind w:left="0" w:right="0" w:firstLine="576"/>
        <w:jc w:val="left"/>
      </w:pPr>
      <w:r>
        <w:rPr/>
        <w:t xml:space="preserve">(1) Members of the county canvassing board are the county auditor, who is the chair, the county prosecuting attorney, and the chair of the county legislative body. If a member of the board is not available to carry out the duties of the board, then the auditor may designate a deputy auditor, the prosecutor may designate a deputy prosecuting attorney, and the chair of the county legislative body may designate another member of the county legislative body or, in a county with a population over one million, an employee of the legislative body who reports directly to the chair. An "employee of the legislative body" means an individual who serves in any of the following positions: Chief of staff; legal counsel; clerk of the council; policy staff director; and any successor positions to these positions should these original positions be changed. Any such designation may be made on an election-by-election basis or may be on a permanent basis until revoked by the designating authority. Any such designation must be in writing, and if for a specific election, must be filed with the county auditor not later than the day before the first day duties are to be undertaken by the canvassing board. If the designation is permanent until revoked by the designating authority, then the designation must be on file in the county auditor's office no later than the day before the first day the designee is to undertake the duties of the canvassing board. Members of the county canvassing board designated by the county auditor, county prosecuting attorney, or chair of the county legislative body shall complete training as provided in RCW 29A.04.540 and shall take an oath of office similar to that taken by county auditors and deputy auditors in the performance of their duties.</w:t>
      </w:r>
    </w:p>
    <w:p>
      <w:pPr>
        <w:spacing w:before="0" w:after="0" w:line="408" w:lineRule="exact"/>
        <w:ind w:left="0" w:right="0" w:firstLine="576"/>
        <w:jc w:val="left"/>
      </w:pPr>
      <w:r>
        <w:rPr/>
        <w:t xml:space="preserve">(2) The county canvassing board may adopt rules that delegate in writing to the county auditor or the county auditor's staff the performance of any task assigned by law to the canvassing board.</w:t>
      </w:r>
    </w:p>
    <w:p>
      <w:pPr>
        <w:spacing w:before="0" w:after="0" w:line="408" w:lineRule="exact"/>
        <w:ind w:left="0" w:right="0" w:firstLine="576"/>
        <w:jc w:val="left"/>
      </w:pPr>
      <w:r>
        <w:rPr/>
        <w:t xml:space="preserve">(3) The county canvassing board may not delegate the responsibility of certifying the returns of a primary or election, of determining the validity of challenged ballots, or of determining the validity of provisional ballots referred to the board by the county auditor.</w:t>
      </w:r>
    </w:p>
    <w:p>
      <w:pPr>
        <w:spacing w:before="0" w:after="0" w:line="408" w:lineRule="exact"/>
        <w:ind w:left="0" w:right="0" w:firstLine="576"/>
        <w:jc w:val="left"/>
      </w:pPr>
      <w:r>
        <w:rPr/>
        <w:t xml:space="preserve">(4) The county canvassing board shall adopt administrative rules to facilitate and govern the canvassing process in that jurisdiction.</w:t>
      </w:r>
    </w:p>
    <w:p>
      <w:pPr>
        <w:spacing w:before="0" w:after="0" w:line="408" w:lineRule="exact"/>
        <w:ind w:left="0" w:right="0" w:firstLine="576"/>
        <w:jc w:val="left"/>
      </w:pPr>
      <w:r>
        <w:rPr/>
        <w:t xml:space="preserve">(5) Meetings of the county canvassing board are public meetings under chapter 42.30 RCW. </w:t>
      </w:r>
      <w:r>
        <w:rPr>
          <w:u w:val="single"/>
        </w:rPr>
        <w:t xml:space="preserve">Meetings must be conducted at times and locations that are accessible to the public to ensure that the public is informed and able to attend or observe. The time and location of county canvassing board meetings must be published in accordance with chapter 42.30 RCW.</w:t>
      </w:r>
      <w:r>
        <w:rPr/>
        <w:t xml:space="preserve"> All rules adopted by the county canvassing board must be adopted in a public meeting under chapter 42.30 RCW, and once adopted must be available to the public to review and copy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acknowledge that he or she is at least sixteen years old;</w:t>
      </w:r>
    </w:p>
    <w:p>
      <w:pPr>
        <w:spacing w:before="0" w:after="0" w:line="408" w:lineRule="exact"/>
        <w:ind w:left="0" w:right="0" w:firstLine="576"/>
        <w:jc w:val="left"/>
      </w:pPr>
      <w:r>
        <w:rPr/>
        <w:t xml:space="preserve">(10)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w:t>
      </w:r>
      <w:r>
        <w:rPr>
          <w:u w:val="single"/>
        </w:rPr>
        <w:t xml:space="preserve">s. The secretary of state is encouraged to provide applications for voter registration with multiple signature blocks to assist in comparing signatures on ballot declarations</w:t>
      </w:r>
      <w:r>
        <w:rPr/>
        <w:t xml:space="preserv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2023 c 466 s 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the applicant's qualifications as a voter in this state:</w:t>
      </w:r>
    </w:p>
    <w:p>
      <w:pPr>
        <w:spacing w:before="0" w:after="0" w:line="408" w:lineRule="exact"/>
        <w:ind w:left="0" w:right="0" w:firstLine="576"/>
        <w:jc w:val="left"/>
      </w:pPr>
      <w:r>
        <w:rPr/>
        <w:t xml:space="preserve">(1) The applicant's full name;</w:t>
      </w:r>
    </w:p>
    <w:p>
      <w:pPr>
        <w:spacing w:before="0" w:after="0" w:line="408" w:lineRule="exact"/>
        <w:ind w:left="0" w:right="0" w:firstLine="576"/>
        <w:jc w:val="left"/>
      </w:pPr>
      <w:r>
        <w:rPr/>
        <w:t xml:space="preserve">(2) The applicant's date of birth;</w:t>
      </w:r>
    </w:p>
    <w:p>
      <w:pPr>
        <w:spacing w:before="0" w:after="0" w:line="408" w:lineRule="exact"/>
        <w:ind w:left="0" w:right="0" w:firstLine="576"/>
        <w:jc w:val="left"/>
      </w:pPr>
      <w:r>
        <w:rPr/>
        <w:t xml:space="preserve">(3) The address of the applicant's residence for voting purposes;</w:t>
      </w:r>
    </w:p>
    <w:p>
      <w:pPr>
        <w:spacing w:before="0" w:after="0" w:line="408" w:lineRule="exact"/>
        <w:ind w:left="0" w:right="0" w:firstLine="576"/>
        <w:jc w:val="left"/>
      </w:pPr>
      <w:r>
        <w:rPr/>
        <w:t xml:space="preserve">(4) The mailing address of the applicant if that address is not the same as the address in subsection (3) of this section;</w:t>
      </w:r>
    </w:p>
    <w:p>
      <w:pPr>
        <w:spacing w:before="0" w:after="0" w:line="408" w:lineRule="exact"/>
        <w:ind w:left="0" w:right="0" w:firstLine="576"/>
        <w:jc w:val="left"/>
      </w:pPr>
      <w:r>
        <w:rPr/>
        <w:t xml:space="preserve">(5) The gender of the applicant;</w:t>
      </w:r>
    </w:p>
    <w:p>
      <w:pPr>
        <w:spacing w:before="0" w:after="0" w:line="408" w:lineRule="exact"/>
        <w:ind w:left="0" w:right="0" w:firstLine="576"/>
        <w:jc w:val="left"/>
      </w:pPr>
      <w:r>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the applicant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membership in the armed forces, national guard, or reserves, or overseas voter status;</w:t>
      </w:r>
    </w:p>
    <w:p>
      <w:pPr>
        <w:spacing w:before="0" w:after="0" w:line="408" w:lineRule="exact"/>
        <w:ind w:left="0" w:right="0" w:firstLine="576"/>
        <w:jc w:val="left"/>
      </w:pPr>
      <w:r>
        <w:rPr/>
        <w:t xml:space="preserve">(9)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rPr/>
        <w:t xml:space="preserve">(10) A check box and declaration confirming that the applicant is a citizen of the United States;</w:t>
      </w:r>
    </w:p>
    <w:p>
      <w:pPr>
        <w:spacing w:before="0" w:after="0" w:line="408" w:lineRule="exact"/>
        <w:ind w:left="0" w:right="0" w:firstLine="576"/>
        <w:jc w:val="left"/>
      </w:pPr>
      <w:r>
        <w:rPr/>
        <w:t xml:space="preserve">(11)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(12) The oath required by RCW 29A.08.230 and a space for the applicant's signature</w:t>
      </w:r>
      <w:r>
        <w:rPr>
          <w:u w:val="single"/>
        </w:rPr>
        <w:t xml:space="preserve">s. The secretary of state is encouraged to provide applications for voter registration with multiple signature blocks to assist in comparing signatures on ballot declarations</w:t>
      </w:r>
      <w:r>
        <w:rPr/>
        <w:t xml:space="preserve">; and</w:t>
      </w:r>
    </w:p>
    <w:p>
      <w:pPr>
        <w:spacing w:before="0" w:after="0" w:line="408" w:lineRule="exact"/>
        <w:ind w:left="0" w:right="0" w:firstLine="576"/>
        <w:jc w:val="left"/>
      </w:pPr>
      <w:r>
        <w:rPr/>
        <w:t xml:space="preserve">(13)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29A.60 RCW to read as follows:</w:t>
      </w:r>
    </w:p>
    <w:p>
      <w:pPr>
        <w:spacing w:before="0" w:after="0" w:line="408" w:lineRule="exact"/>
        <w:ind w:left="0" w:right="0" w:firstLine="576"/>
        <w:jc w:val="left"/>
      </w:pPr>
      <w:r>
        <w:rPr/>
        <w:t xml:space="preserve">(1) A work group is established to approve a uniform ballot envelope design to be used by all counties in each election beginning with the 2026 primary election.</w:t>
      </w:r>
    </w:p>
    <w:p>
      <w:pPr>
        <w:spacing w:before="0" w:after="0" w:line="408" w:lineRule="exact"/>
        <w:ind w:left="0" w:right="0" w:firstLine="576"/>
        <w:jc w:val="left"/>
      </w:pPr>
      <w:r>
        <w:rPr/>
        <w:t xml:space="preserve">(2) The work group must be chaired by the secretary of state, or the secretary's designee, and include at a minimum the following members, appointed by the secretary of state:</w:t>
      </w:r>
    </w:p>
    <w:p>
      <w:pPr>
        <w:spacing w:before="0" w:after="0" w:line="408" w:lineRule="exact"/>
        <w:ind w:left="0" w:right="0" w:firstLine="576"/>
        <w:jc w:val="left"/>
      </w:pPr>
      <w:r>
        <w:rPr/>
        <w:t xml:space="preserve">(a) Two county auditors or their designees, with one auditor residing in western Washington and one auditor residing in eastern Washington;</w:t>
      </w:r>
    </w:p>
    <w:p>
      <w:pPr>
        <w:spacing w:before="0" w:after="0" w:line="408" w:lineRule="exact"/>
        <w:ind w:left="0" w:right="0" w:firstLine="576"/>
        <w:jc w:val="left"/>
      </w:pPr>
      <w:r>
        <w:rPr/>
        <w:t xml:space="preserve">(b) A representative from the University of Washington Evans school of public policy and governance; </w:t>
      </w:r>
    </w:p>
    <w:p>
      <w:pPr>
        <w:spacing w:before="0" w:after="0" w:line="408" w:lineRule="exact"/>
        <w:ind w:left="0" w:right="0" w:firstLine="576"/>
        <w:jc w:val="left"/>
      </w:pPr>
      <w:r>
        <w:rPr/>
        <w:t xml:space="preserve">(c) A representative from a nonprofit educational research organization with expertise in designing voting materials; and</w:t>
      </w:r>
    </w:p>
    <w:p>
      <w:pPr>
        <w:spacing w:before="0" w:after="0" w:line="408" w:lineRule="exact"/>
        <w:ind w:left="0" w:right="0" w:firstLine="576"/>
        <w:jc w:val="left"/>
      </w:pPr>
      <w:r>
        <w:rPr/>
        <w:t xml:space="preserve">(d) Other recognized experts and staff as deemed necessary by the work group's chair.</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15,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15,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9d611654957a42f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ce18a6b5b144bf" /><Relationship Type="http://schemas.openxmlformats.org/officeDocument/2006/relationships/footer" Target="/word/footer1.xml" Id="R9d611654957a42fb" /></Relationships>
</file>