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8e8a7f377a46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5920</w:t>
      </w:r>
    </w:p>
    <w:p>
      <w:pPr>
        <w:jc w:val="center"/>
        <w:spacing w:before="480" w:after="0" w:line="240"/>
      </w:pPr>
      <w:r>
        <w:t xml:space="preserve">Chapter </w:t>
      </w:r>
      <w:r>
        <w:rPr/>
        <w:t xml:space="preserve">165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PSYCHIATRIC HOSPITALS AND BEDS—CERTIFICATE OF NEED REQUIREMENTS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5920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Padden, Fortunato, Keiser, Warnick, and L. Wilson)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lifting certificate of need requirements for the construction of psychiatric hospitals and the addition of psychiatric beds; amending RCW 70.38.111, 70.38.260, and 70.38.270;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w:t>
      </w:r>
      <w:r>
        <w:t>((</w:t>
      </w:r>
      <w:r>
        <w:rPr>
          <w:strike/>
        </w:rPr>
        <w:t xml:space="preserve">2023</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2021 c 277 s 2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2023</w:t>
      </w:r>
      <w:r>
        <w:t>))</w:t>
      </w:r>
      <w:r>
        <w:rPr/>
        <w:t xml:space="preserve"> </w:t>
      </w:r>
      <w:r>
        <w:rPr>
          <w:u w:val="single"/>
        </w:rPr>
        <w:t xml:space="preserve">2028</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2023</w:t>
      </w:r>
      <w:r>
        <w:t>))</w:t>
      </w:r>
      <w:r>
        <w:rPr/>
        <w:t xml:space="preserve"> </w:t>
      </w:r>
      <w:r>
        <w:rPr>
          <w:u w:val="single"/>
        </w:rPr>
        <w:t xml:space="preserve">2028</w:t>
      </w:r>
      <w:r>
        <w:rPr/>
        <w:t xml:space="preserve">, a psychiatric hospital licensed as an establishment under chapter 71.12 RCW is exempt from certificate of need requirements for the one-time addition of up to 30 new psychiatric beds devoted solely for 90-day and 180-day civil commitment services and for the one-time addition of up to 30 new voluntary psychiatric beds or involuntary psychiatric beds for patients on a 120 hour detention or 14-day civil commitment order, if the hospital makes a commitment to maintain a payer mix of at least fifty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w:t>
      </w:r>
      <w:r>
        <w:t>((</w:t>
      </w:r>
      <w:r>
        <w:rPr>
          <w:strike/>
        </w:rPr>
        <w:t xml:space="preserve">70.170.100 and</w:t>
      </w:r>
      <w:r>
        <w:t>))</w:t>
      </w:r>
      <w:r>
        <w:rPr/>
        <w:t xml:space="preserve">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the types of psychiatric beds indicated to the department in the original exemption application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2023</w:t>
      </w:r>
      <w:r>
        <w:t>))</w:t>
      </w:r>
      <w:r>
        <w:rPr/>
        <w:t xml:space="preserve"> </w:t>
      </w:r>
      <w:r>
        <w:rPr>
          <w:u w:val="single"/>
        </w:rPr>
        <w:t xml:space="preserve">2028</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120 hour detention or 14-day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2025</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270</w:t>
      </w:r>
      <w:r>
        <w:rPr/>
        <w:t xml:space="preserve"> and 2015 3rd sp.s. c 22 s 3 are each amended to read as follows:</w:t>
      </w:r>
    </w:p>
    <w:p>
      <w:pPr>
        <w:spacing w:before="0" w:after="0" w:line="408" w:lineRule="exact"/>
        <w:ind w:left="0" w:right="0" w:firstLine="576"/>
        <w:jc w:val="left"/>
      </w:pPr>
      <w:r>
        <w:rPr>
          <w:u w:val="single"/>
        </w:rPr>
        <w:t xml:space="preserve">(1)</w:t>
      </w:r>
      <w:r>
        <w:rPr/>
        <w:t xml:space="preserve"> New psychiatric beds added under RCW 70.38.260 must remain psychiatric beds unless a certificate of need is granted to change their use or the hospital or psychiatric hospital voluntarily reduces its licensed capacity.</w:t>
      </w:r>
    </w:p>
    <w:p>
      <w:pPr>
        <w:spacing w:before="0" w:after="0" w:line="408" w:lineRule="exact"/>
        <w:ind w:left="0" w:right="0" w:firstLine="576"/>
        <w:jc w:val="left"/>
      </w:pPr>
      <w:r>
        <w:rPr>
          <w:u w:val="single"/>
        </w:rPr>
        <w:t xml:space="preserve">(2) This section expires June 30, 2029.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3d791df5c72f44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ba6b1414a49a7" /><Relationship Type="http://schemas.openxmlformats.org/officeDocument/2006/relationships/footer" Target="/word/footer1.xml" Id="R3d791df5c72f44d5" /></Relationships>
</file>