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ac19de9245da" /></Relationships>
</file>

<file path=word/document.xml><?xml version="1.0" encoding="utf-8"?>
<w:document xmlns:w="http://schemas.openxmlformats.org/wordprocessingml/2006/main">
  <w:body>
    <w:p>
      <w:r>
        <w:t>H-0221.1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1049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 Shavers</w:t>
      </w:r>
    </w:p>
    <w:p/>
    <w:p>
      <w:r>
        <w:rPr>
          <w:t xml:space="preserve">Prefiled 12/12/24.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availability of sexual assault nurse examiners; and adding a new section to chapter 43.70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Subject to the availability of amounts appropriated for this specific purpose, the department shall establish a stipend program to defray the out-of-pocket expenses incurred by registered nurses completing the training necessary to become adult/adolescent or pediatric sexual assault nurse examiners.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total amount of the stipend for any individual nurse may not exceed $2,500.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"out-of-pocket expenses"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Fees, tuition, educational materials, or other charges imposed by the entity providing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Reasonable travel expenses, including air travel, rental car costs, mileage on a personal vehicle, lodging, and meals;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Any other expenses deemed appropriate by the department.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department may adopt any rules necessary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6dda41562d149a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1049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a575153b944d9" /><Relationship Type="http://schemas.openxmlformats.org/officeDocument/2006/relationships/footer" Target="/word/footer1.xml" Id="R76dda41562d149a0" /></Relationships>
</file>